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9EE" w14:textId="77777777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r>
        <w:rPr>
          <w:rFonts w:cstheme="minorHAnsi"/>
          <w:b/>
          <w:sz w:val="28"/>
          <w:szCs w:val="28"/>
        </w:rPr>
        <w:t xml:space="preserve"> </w:t>
      </w:r>
      <w:r w:rsidRPr="002F090A">
        <w:rPr>
          <w:rFonts w:cstheme="minorHAnsi"/>
          <w:b/>
          <w:sz w:val="28"/>
          <w:szCs w:val="28"/>
        </w:rPr>
        <w:t>……………</w:t>
      </w:r>
    </w:p>
    <w:p w14:paraId="6FB1ABD1" w14:textId="11218D7A" w:rsidR="00422977" w:rsidRPr="002F090A" w:rsidRDefault="00422977" w:rsidP="00422977">
      <w:pPr>
        <w:jc w:val="center"/>
        <w:rPr>
          <w:rFonts w:cstheme="minorHAnsi"/>
        </w:rPr>
      </w:pPr>
      <w:r>
        <w:rPr>
          <w:rFonts w:cstheme="minorHAnsi"/>
        </w:rPr>
        <w:t>SUKCESYWNA DOSTA</w:t>
      </w:r>
      <w:r w:rsidR="005E4393">
        <w:rPr>
          <w:rFonts w:cstheme="minorHAnsi"/>
        </w:rPr>
        <w:t>WA NABIAŁU I PROBUKTÓW MLECZARSKICH</w:t>
      </w:r>
    </w:p>
    <w:p w14:paraId="126C28F6" w14:textId="1B72AEAC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                         </w:t>
      </w:r>
      <w:r w:rsidRPr="002F090A">
        <w:rPr>
          <w:rFonts w:cstheme="minorHAnsi"/>
        </w:rPr>
        <w:t>w Zabrzu</w:t>
      </w:r>
    </w:p>
    <w:p w14:paraId="5A6C1FE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01101BFD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620E683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 xml:space="preserve">Barbarą </w:t>
      </w:r>
      <w:proofErr w:type="spellStart"/>
      <w:r w:rsidRPr="002F090A">
        <w:rPr>
          <w:rFonts w:cstheme="minorHAnsi"/>
        </w:rPr>
        <w:t>Radzimską</w:t>
      </w:r>
      <w:proofErr w:type="spellEnd"/>
      <w:r w:rsidRPr="002F090A">
        <w:rPr>
          <w:rFonts w:cstheme="minorHAnsi"/>
        </w:rPr>
        <w:t xml:space="preserve"> – Główna księgowa - kontrasygnata</w:t>
      </w:r>
    </w:p>
    <w:p w14:paraId="5DBFEAE1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26A29F31" w14:textId="38C8597B" w:rsid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A</w:t>
      </w:r>
    </w:p>
    <w:p w14:paraId="767CCD20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2CD64CEC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451BCCC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3EC4A764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195673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249AF7D5" w14:textId="34E5EDE6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Przedmiot umowy – oznacza dostawę</w:t>
      </w:r>
      <w:r w:rsidR="0064180D">
        <w:rPr>
          <w:rFonts w:eastAsiaTheme="minorEastAsia" w:cstheme="minorHAnsi"/>
        </w:rPr>
        <w:t xml:space="preserve"> nabiału i</w:t>
      </w:r>
      <w:r w:rsidR="004E0832">
        <w:rPr>
          <w:rFonts w:eastAsiaTheme="minorEastAsia" w:cstheme="minorHAnsi"/>
        </w:rPr>
        <w:t xml:space="preserve"> </w:t>
      </w:r>
      <w:r w:rsidR="005E4393">
        <w:rPr>
          <w:rFonts w:eastAsiaTheme="minorEastAsia" w:cstheme="minorHAnsi"/>
        </w:rPr>
        <w:t>produktów mleczarskich</w:t>
      </w:r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68226E88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0BF7548A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2A72F2A6" w14:textId="3109FC14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</w:t>
      </w:r>
      <w:proofErr w:type="spellStart"/>
      <w:r w:rsidRPr="002F090A">
        <w:rPr>
          <w:rFonts w:eastAsiaTheme="minorEastAsia" w:cstheme="minorHAnsi"/>
        </w:rPr>
        <w:t>pn</w:t>
      </w:r>
      <w:proofErr w:type="spellEnd"/>
      <w:r w:rsidRPr="002F090A">
        <w:rPr>
          <w:rFonts w:eastAsiaTheme="minorEastAsia" w:cstheme="minorHAnsi"/>
        </w:rPr>
        <w:t xml:space="preserve">: „ </w:t>
      </w:r>
      <w:r w:rsidR="00422977">
        <w:rPr>
          <w:rFonts w:eastAsiaTheme="minorEastAsia" w:cstheme="minorHAnsi"/>
        </w:rPr>
        <w:t xml:space="preserve">Dostawa </w:t>
      </w:r>
      <w:r w:rsidR="005F0C47">
        <w:rPr>
          <w:rFonts w:eastAsiaTheme="minorEastAsia" w:cstheme="minorHAnsi"/>
        </w:rPr>
        <w:t>nabiału i produktów mleczarskich</w:t>
      </w:r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16D38CD8" w14:textId="03A9C023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Przedmiotem umowy jest dostawa </w:t>
      </w:r>
      <w:r w:rsidR="00D21CD9">
        <w:rPr>
          <w:rFonts w:eastAsiaTheme="minorEastAsia" w:cstheme="minorHAnsi"/>
        </w:rPr>
        <w:t>nabiału i produktów mleczarskich</w:t>
      </w:r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3B401AEE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2555E944" w14:textId="14CB72F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31.12.202</w:t>
      </w:r>
      <w:r w:rsidR="00496285">
        <w:rPr>
          <w:rFonts w:eastAsiaTheme="minorEastAsia" w:cstheme="minorHAnsi"/>
        </w:rPr>
        <w:t>3</w:t>
      </w:r>
      <w:r w:rsidR="00422977">
        <w:rPr>
          <w:rFonts w:eastAsiaTheme="minorEastAsia" w:cstheme="minorHAnsi"/>
        </w:rPr>
        <w:t xml:space="preserve"> r.</w:t>
      </w:r>
    </w:p>
    <w:p w14:paraId="6BE29025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</w:p>
    <w:p w14:paraId="6DC0CF5A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Miejsce realizacji/ dostawy przedmiotu umowy: Kopalnia Guido, ul. 3 maja 93 Zabrze, w godzinach 7:00 – 15:00</w:t>
      </w:r>
    </w:p>
    <w:p w14:paraId="18DFAFE6" w14:textId="67E9D35E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r w:rsidRPr="002F090A">
        <w:rPr>
          <w:rFonts w:eastAsiaTheme="minorEastAsia" w:cstheme="minorHAnsi"/>
        </w:rPr>
        <w:t xml:space="preserve">:00. </w:t>
      </w:r>
    </w:p>
    <w:p w14:paraId="586BDC4D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>§</w:t>
      </w:r>
      <w:r w:rsidR="006945C8">
        <w:rPr>
          <w:rFonts w:eastAsiaTheme="minorEastAsia" w:cstheme="minorHAnsi"/>
        </w:rPr>
        <w:t>4</w:t>
      </w:r>
    </w:p>
    <w:p w14:paraId="3CEF5655" w14:textId="77777777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będzie za całokształt, w tym za przebieg oraz terminowe wykonanie umowy.</w:t>
      </w:r>
    </w:p>
    <w:p w14:paraId="44CFC4FC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71C4C3AC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24938C4E" w14:textId="1E22C048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Strony ustalają, że umowne wynagrodzenie Wykonawcy, w przypadku dostarczenia w pełnym zakresie asortymentu wskazanego w formularzu oferty z dnia</w:t>
      </w:r>
      <w:r w:rsidR="0064180D">
        <w:rPr>
          <w:rFonts w:eastAsiaTheme="minorEastAsia" w:cstheme="minorHAnsi"/>
        </w:rPr>
        <w:t xml:space="preserve"> </w:t>
      </w:r>
      <w:r w:rsidR="00496285">
        <w:rPr>
          <w:rFonts w:eastAsiaTheme="minorEastAsia" w:cstheme="minorHAnsi"/>
        </w:rPr>
        <w:t xml:space="preserve">          </w:t>
      </w:r>
      <w:r w:rsidR="0064180D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wynosi</w:t>
      </w:r>
      <w:r w:rsidR="0064180D">
        <w:rPr>
          <w:rFonts w:eastAsiaTheme="minorEastAsia" w:cstheme="minorHAnsi"/>
        </w:rPr>
        <w:t xml:space="preserve"> </w:t>
      </w:r>
      <w:r w:rsidR="00496285">
        <w:rPr>
          <w:rFonts w:eastAsiaTheme="minorEastAsia" w:cstheme="minorHAnsi"/>
        </w:rPr>
        <w:t xml:space="preserve">       </w:t>
      </w:r>
      <w:r w:rsidR="0064180D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zł (słownie</w:t>
      </w:r>
      <w:r w:rsidR="0064180D">
        <w:rPr>
          <w:rFonts w:eastAsiaTheme="minorEastAsia" w:cstheme="minorHAnsi"/>
        </w:rPr>
        <w:t xml:space="preserve"> </w:t>
      </w:r>
      <w:bookmarkStart w:id="0" w:name="_GoBack"/>
      <w:bookmarkEnd w:id="0"/>
      <w:r w:rsidRPr="002F090A">
        <w:rPr>
          <w:rFonts w:eastAsiaTheme="minorEastAsia" w:cstheme="minorHAnsi"/>
        </w:rPr>
        <w:t>) netto</w:t>
      </w:r>
      <w:r>
        <w:rPr>
          <w:rFonts w:eastAsiaTheme="minorEastAsia" w:cstheme="minorHAnsi"/>
        </w:rPr>
        <w:t>.</w:t>
      </w:r>
    </w:p>
    <w:p w14:paraId="4B7A58B0" w14:textId="0768FC75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zapłaci Wykonawcy należność za zakupione produkty, zgodnie z cenami jednostkowymi brutto wskazanymi w formularzu oferty. Ceny jednostkowe, o których mowa w mają charakter ryczałtowy i nie ulegają podwyższeniu z jakiegokolwiek tytułu, z wyjątkiem określonym w §10 pkt.1</w:t>
      </w:r>
    </w:p>
    <w:p w14:paraId="2FA9354D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096E8AE4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70D2FDFA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Georgiusa Agricoli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69666604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8648D95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Numer konta bankowego Dostawcy ……………………………………………………..</w:t>
      </w:r>
    </w:p>
    <w:p w14:paraId="649856B5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434345D4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 xml:space="preserve">Strony ustalają, że wszelkie zmiany postanowień niniejszej umowy mogą być wprowadzane wyłącznie zgodnie z obowiązującymi przepisami prawa oraz przy zachowaniu zasad wynikających z niniejszej umowy. </w:t>
      </w:r>
    </w:p>
    <w:p w14:paraId="35ED9370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Zmiany i uzupełnienia niniejszej umowy wymagają formy pisemnej pod rygorem nieważności.</w:t>
      </w:r>
    </w:p>
    <w:p w14:paraId="763DFC43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4303889B" w14:textId="77777777" w:rsidR="002F090A" w:rsidRP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799C7C4B" w14:textId="3F09B97B" w:rsidR="002F090A" w:rsidRDefault="002F090A" w:rsidP="002F090A">
      <w:pPr>
        <w:pStyle w:val="Akapitzlist"/>
        <w:numPr>
          <w:ilvl w:val="0"/>
          <w:numId w:val="1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została sporządzona w trzech jednobrzmiących egzemplarzach, dwa dla Zamawiającego, jeden  dla Wykonawcy.</w:t>
      </w:r>
    </w:p>
    <w:p w14:paraId="731D68C4" w14:textId="70717572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§7</w:t>
      </w:r>
    </w:p>
    <w:p w14:paraId="6EA30DAD" w14:textId="0050A1DC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4E123D57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§7 ust. 1 w przypadku, gdy Zamawiający odstąpi od umowy lub ją rozwiąże z powodu okoliczności, za które odpowiada Wykonawca.</w:t>
      </w:r>
    </w:p>
    <w:p w14:paraId="2CC7FEA9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0F815AE3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7088607F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3AEAE485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Łączna wysokość kar umownych nie może przekroczyć 25% umownego wynagrodzenia netto, określonego w §7 ust 1.</w:t>
      </w:r>
    </w:p>
    <w:p w14:paraId="604D89DF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Kara umowna będzie płatna w terminie 14 dni od daty otrzymania przez Wykonawcę wezwania do zapłaty.</w:t>
      </w:r>
    </w:p>
    <w:p w14:paraId="19AF1BC3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Za zwłokę w zapłacie faktury Zamawiający zapłaci Wykonawcy odsetki ustawowe.</w:t>
      </w:r>
    </w:p>
    <w:p w14:paraId="305E19B7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03594F39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40E87E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1923F8C0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40AA276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770751FF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6EE18843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5D357071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662793DD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176065F2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OŚWIADCZENIE</w:t>
      </w:r>
    </w:p>
    <w:p w14:paraId="6833B487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22A1810D" w14:textId="4BB376EC" w:rsidR="00EB22F2" w:rsidRDefault="00496285" w:rsidP="001D45F1">
      <w:pPr>
        <w:jc w:val="right"/>
        <w:rPr>
          <w:rFonts w:cstheme="minorHAnsi"/>
        </w:rPr>
      </w:pPr>
    </w:p>
    <w:p w14:paraId="3EE613C7" w14:textId="1B917D2E" w:rsidR="001D45F1" w:rsidRDefault="001D45F1" w:rsidP="001D45F1">
      <w:pPr>
        <w:jc w:val="right"/>
        <w:rPr>
          <w:rFonts w:cstheme="minorHAnsi"/>
        </w:rPr>
      </w:pPr>
    </w:p>
    <w:p w14:paraId="377C16EB" w14:textId="55AC7908" w:rsidR="001D45F1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…………………………….</w:t>
      </w:r>
    </w:p>
    <w:p w14:paraId="54AC05DE" w14:textId="49FA41DE" w:rsidR="001D45F1" w:rsidRPr="002F090A" w:rsidRDefault="001D45F1" w:rsidP="001D45F1">
      <w:pPr>
        <w:jc w:val="right"/>
        <w:rPr>
          <w:rFonts w:cstheme="minorHAnsi"/>
        </w:rPr>
      </w:pPr>
      <w:r>
        <w:rPr>
          <w:rFonts w:cstheme="minorHAnsi"/>
        </w:rPr>
        <w:t>Podpis oświadczającego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B41DF" w14:textId="77777777" w:rsidR="009551D9" w:rsidRDefault="009551D9" w:rsidP="002F090A">
      <w:pPr>
        <w:spacing w:after="0" w:line="240" w:lineRule="auto"/>
      </w:pPr>
      <w:r>
        <w:separator/>
      </w:r>
    </w:p>
  </w:endnote>
  <w:endnote w:type="continuationSeparator" w:id="0">
    <w:p w14:paraId="3A57FCB7" w14:textId="77777777" w:rsidR="009551D9" w:rsidRDefault="009551D9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7FFF" w14:textId="77777777" w:rsidR="002F090A" w:rsidRDefault="002F09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8DDC9" wp14:editId="352128C2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05C5" w14:textId="77777777" w:rsidR="009551D9" w:rsidRDefault="009551D9" w:rsidP="002F090A">
      <w:pPr>
        <w:spacing w:after="0" w:line="240" w:lineRule="auto"/>
      </w:pPr>
      <w:r>
        <w:separator/>
      </w:r>
    </w:p>
  </w:footnote>
  <w:footnote w:type="continuationSeparator" w:id="0">
    <w:p w14:paraId="65051EF4" w14:textId="77777777" w:rsidR="009551D9" w:rsidRDefault="009551D9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1B9A" w14:textId="77777777" w:rsidR="002F090A" w:rsidRDefault="002F090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1A20E" wp14:editId="65B2FDA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00FDF"/>
    <w:rsid w:val="000E795E"/>
    <w:rsid w:val="001D45F1"/>
    <w:rsid w:val="00234300"/>
    <w:rsid w:val="002F090A"/>
    <w:rsid w:val="003039C6"/>
    <w:rsid w:val="00355BC4"/>
    <w:rsid w:val="00422977"/>
    <w:rsid w:val="00474E11"/>
    <w:rsid w:val="00496285"/>
    <w:rsid w:val="004E0832"/>
    <w:rsid w:val="00536459"/>
    <w:rsid w:val="005617A1"/>
    <w:rsid w:val="005631D9"/>
    <w:rsid w:val="005E4393"/>
    <w:rsid w:val="005F0C47"/>
    <w:rsid w:val="0064180D"/>
    <w:rsid w:val="006945C8"/>
    <w:rsid w:val="008A3B67"/>
    <w:rsid w:val="009551D9"/>
    <w:rsid w:val="0096580B"/>
    <w:rsid w:val="009D0F2E"/>
    <w:rsid w:val="00D21CD9"/>
    <w:rsid w:val="00D2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00C2B1"/>
  <w15:chartTrackingRefBased/>
  <w15:docId w15:val="{579EB094-F7E0-4AC1-9966-51CE12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832C-F279-48EF-8F2E-6EDB37F2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8</cp:revision>
  <cp:lastPrinted>2022-01-12T11:51:00Z</cp:lastPrinted>
  <dcterms:created xsi:type="dcterms:W3CDTF">2021-12-06T11:29:00Z</dcterms:created>
  <dcterms:modified xsi:type="dcterms:W3CDTF">2023-01-04T12:32:00Z</dcterms:modified>
</cp:coreProperties>
</file>