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FD" w:rsidRDefault="00AB6271" w:rsidP="00034BFD">
      <w:pPr>
        <w:spacing w:after="280" w:line="420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Zabrze: </w:t>
      </w:r>
      <w:r w:rsidRPr="00AB62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ZP/44/MGW/REOK</w:t>
      </w:r>
      <w:r w:rsidR="00034B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/2015 Zaprojektowanie i dostawa </w:t>
      </w:r>
      <w:r w:rsidRPr="00AB62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specjalistycznego oświetlenia ekspozycyjnego na potrzeby stworzenia podziemnej trasy turystycznej w wyrobiskach Głównej Kluczowej Sztolni Dziedzicznej w Zabrzu</w:t>
      </w:r>
      <w:r w:rsidR="00034B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:rsidR="00AB6271" w:rsidRPr="00AB6271" w:rsidRDefault="00AB6271" w:rsidP="00034BFD">
      <w:pPr>
        <w:spacing w:after="280" w:line="420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125</w:t>
      </w:r>
      <w:r w:rsidR="00034B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828 - 2015; data zamieszczenia: </w:t>
      </w:r>
      <w:r w:rsidRPr="00AB62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27.05.2015</w:t>
      </w:r>
      <w:r w:rsidR="00034B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AB6271">
        <w:rPr>
          <w:rFonts w:ascii="Arial" w:eastAsia="Times New Roman" w:hAnsi="Arial" w:cs="Arial"/>
          <w:sz w:val="28"/>
          <w:szCs w:val="28"/>
          <w:lang w:eastAsia="pl-PL"/>
        </w:rPr>
        <w:t>OGŁOSZENIE O ZAMÓWIENIU - dostawy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AB6271" w:rsidRPr="00AB6271" w:rsidRDefault="00AB6271" w:rsidP="00034BFD">
      <w:pPr>
        <w:spacing w:before="375" w:after="225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 , ul. Jodłowa 59, 41-800 Zabrze, woj. śląskie, tel. 32 630 30 91, faks 32 277 11 25.</w:t>
      </w:r>
    </w:p>
    <w:p w:rsidR="00AB6271" w:rsidRPr="00AB6271" w:rsidRDefault="00AB6271" w:rsidP="00034BF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www.muzeumgornictwa.pl</w:t>
      </w:r>
    </w:p>
    <w:p w:rsidR="00AB6271" w:rsidRPr="00AB6271" w:rsidRDefault="00AB6271" w:rsidP="00034BF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www.muzeumgornictwa.pl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AB6271" w:rsidRPr="00AB6271" w:rsidRDefault="00AB6271" w:rsidP="00034BFD">
      <w:pPr>
        <w:spacing w:before="375" w:after="225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034BFD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ZP/44/MGW/REOK/2015 Zaprojektowanie i dostawa specjalistycznego oświetlenia ekspozycyjnego na potrzeby stworzenia podziemnej trasy turystycznej w wyrobiskach Głównej Kluczowej Sztolni Dziedzicznej w Zabrzu.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034BFD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34BFD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zaprojektowanie i dostawa wyjątkowych elementów oświetlenia stylizowanych na lampy górnicze (kaganki łojowe i lampy olejowe) przeznaczonych jako specjalistyczne oświetlenie ekspozycyjne na potrzeby przygotowywanej trasy turystycznej w wyrobiskach Głównej Kluczowej Sztolni Dziedzicznej. Zadanie obejmuje przygotowanie projektów wykonawczych lamp, przygotowanie egzemplarzy próbnych oraz dostawę gotowych, sprawnych i wykonanych zgodnie </w:t>
      </w:r>
      <w:r w:rsidR="00034B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z projektem egzemplarzy lamp w liczbie 40 sztuk (20 sztuk dla każdego z modeli). Lampy zostaną docelowo zamontowane w wyrobiskach zlikwidowanej Głównej Kluczowej Sztolni Dziedzicznej (Dalej: GKSD) oraz łączących się z nią wyrobisk kopalni węgla kamiennego Królowa Luiza(po 1945 r. Zabrze). Trasa przebiega przez odcinek GKSD o długości ok 2,5 km obejmujący wyrobiska od wylotu sztolni </w:t>
      </w:r>
      <w:r w:rsidR="00034B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w rejonie ul. K. Miarki do rejonu Szybu </w:t>
      </w:r>
      <w:proofErr w:type="spellStart"/>
      <w:r w:rsidRPr="00AB6271">
        <w:rPr>
          <w:rFonts w:ascii="Arial" w:eastAsia="Times New Roman" w:hAnsi="Arial" w:cs="Arial"/>
          <w:sz w:val="20"/>
          <w:szCs w:val="20"/>
          <w:lang w:eastAsia="pl-PL"/>
        </w:rPr>
        <w:t>Carnall</w:t>
      </w:r>
      <w:proofErr w:type="spellEnd"/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na terenie dawnego Sztolni Królowa Luiza przy </w:t>
      </w:r>
      <w:r w:rsidR="00034B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ul. Wolności 410 Parametry środowiskowe w obiekcie ulegają zmianom w zależności od pory roku. </w:t>
      </w:r>
      <w:r w:rsidR="00034B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W okresie roku 2014 temperatura zmieniała się w zakresie 2,3 - 19,8 stopni C. a wilgotność w zakresie 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64 - 94%. Materiały do wykonania lamp muszą uwzględniać bezawaryjne działanie w ww. warunkach. Wyrobiska objęte projektem położone są na głębokości do ok 50 m. Wszystkie wyrobiska objęte są nadzorem zgodnie z zapisami ustawy Prawo Górnicze i Geologiczne.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Podstawą dla realizacji przedmiotu zamówienia jest dokumentacja projektowa pt. Projekt aranżacji oraz ruchu turystycznego w Głównej Kluczowej Sztolni Dziedzicznej i wyrobiskach Kopalni Królowa Luiza </w:t>
      </w:r>
      <w:r w:rsidR="00034B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>w Zabrzu..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31.50.00.00-1, 31.52.00.00-7.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30.11.2015.</w:t>
      </w:r>
    </w:p>
    <w:p w:rsidR="00AB6271" w:rsidRPr="00AB6271" w:rsidRDefault="00AB6271" w:rsidP="00034BFD">
      <w:pPr>
        <w:spacing w:before="375" w:after="225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034BFD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Zamawiający nie wymaga wniesienia wadium.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B6271" w:rsidRPr="00AB6271" w:rsidRDefault="00AB6271" w:rsidP="00034BFD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B6271" w:rsidRPr="00AB6271" w:rsidRDefault="00AB6271" w:rsidP="00034BFD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B6271" w:rsidRPr="00AB6271" w:rsidRDefault="00AB6271" w:rsidP="00034BFD">
      <w:pPr>
        <w:numPr>
          <w:ilvl w:val="1"/>
          <w:numId w:val="2"/>
        </w:numPr>
        <w:spacing w:after="0" w:line="300" w:lineRule="atLeast"/>
        <w:ind w:left="9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AB62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AB6271" w:rsidRPr="00AB6271" w:rsidRDefault="00AB6271" w:rsidP="00034BFD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AB6271" w:rsidRPr="00AB6271" w:rsidRDefault="00AB6271" w:rsidP="00034BFD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034BFD" w:rsidRPr="00034BFD" w:rsidRDefault="00AB6271" w:rsidP="00034BFD">
      <w:pPr>
        <w:numPr>
          <w:ilvl w:val="1"/>
          <w:numId w:val="2"/>
        </w:numPr>
        <w:tabs>
          <w:tab w:val="clear" w:pos="1440"/>
        </w:tabs>
        <w:spacing w:after="0" w:line="300" w:lineRule="atLeast"/>
        <w:ind w:left="993" w:hanging="453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Zamawiający uzna powyższy warunek za spełniony, jeżeli Wykonawca wykaże, </w:t>
      </w:r>
      <w:r w:rsidR="00034B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że w okresie ostatnich trzech lat przed upływem terminu składania ofert, a jeżeli okres prowadzenia działalności jest krótszy - w tym okresie, wykonał należycie minimum jedną dostawę: </w:t>
      </w:r>
      <w:r w:rsidR="00034BFD" w:rsidRPr="00034B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oświetlenia ekspozycyjnego i/lub 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oświetlenia dedykowanego dla instytucji kultury i/lub 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oświetlenia dla obiektu zabytkowego nie będącego instytucją kultury (np. restauracje, obiekty u zbyteczności publicznej) pod warunkiem że wykonane elementy oświetlenia miały charakter replik lub rekonstrukcji, a inwestycja objęta była nadzorem </w:t>
      </w:r>
      <w:r w:rsidR="00034BFD" w:rsidRPr="00034BF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>konserwatorskim;</w:t>
      </w:r>
    </w:p>
    <w:p w:rsidR="00AB6271" w:rsidRPr="00AB6271" w:rsidRDefault="00AB6271" w:rsidP="00034BFD">
      <w:pPr>
        <w:spacing w:after="0" w:line="300" w:lineRule="atLeast"/>
        <w:ind w:left="993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o wartości min. 15.000,00 PLN z VAT.</w:t>
      </w:r>
    </w:p>
    <w:p w:rsidR="00AB6271" w:rsidRPr="00AB6271" w:rsidRDefault="00AB6271" w:rsidP="00034BFD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AB6271" w:rsidRPr="00AB6271" w:rsidRDefault="00AB6271" w:rsidP="00034BFD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034BFD" w:rsidRDefault="00AB6271" w:rsidP="00034BFD">
      <w:pPr>
        <w:numPr>
          <w:ilvl w:val="1"/>
          <w:numId w:val="2"/>
        </w:numPr>
        <w:spacing w:after="0" w:line="300" w:lineRule="atLeast"/>
        <w:ind w:left="9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Potencjał techniczny: </w:t>
      </w:r>
    </w:p>
    <w:p w:rsidR="00AB6271" w:rsidRPr="00AB6271" w:rsidRDefault="00AB6271" w:rsidP="00034BFD">
      <w:pPr>
        <w:spacing w:after="0" w:line="300" w:lineRule="atLeast"/>
        <w:ind w:left="9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AB62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AB6271" w:rsidRPr="00AB6271" w:rsidRDefault="00AB6271" w:rsidP="00034BFD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III.3.4) Osoby zdolne do wykonania zamówienia</w:t>
      </w:r>
    </w:p>
    <w:p w:rsidR="00AB6271" w:rsidRPr="00AB6271" w:rsidRDefault="00AB6271" w:rsidP="00034BFD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B6271" w:rsidRPr="00AB6271" w:rsidRDefault="00AB6271" w:rsidP="00034BFD">
      <w:pPr>
        <w:numPr>
          <w:ilvl w:val="1"/>
          <w:numId w:val="2"/>
        </w:numPr>
        <w:spacing w:after="0" w:line="300" w:lineRule="atLeast"/>
        <w:ind w:left="9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AB62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AB6271" w:rsidRPr="00AB6271" w:rsidRDefault="00AB6271" w:rsidP="00034BFD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AB6271" w:rsidRPr="00AB6271" w:rsidRDefault="00AB6271" w:rsidP="00034BFD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B6271" w:rsidRPr="00AB6271" w:rsidRDefault="00AB6271" w:rsidP="00034BFD">
      <w:pPr>
        <w:numPr>
          <w:ilvl w:val="1"/>
          <w:numId w:val="2"/>
        </w:numPr>
        <w:spacing w:after="0" w:line="300" w:lineRule="atLeast"/>
        <w:ind w:left="9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AB62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</w:t>
      </w:r>
      <w:r w:rsidR="00034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NIA SPEŁNIANIA WARUNKÓW UDZIAŁU</w:t>
      </w: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POSTĘPOWANIU ORAZ NIEPODLEGANIA WYKLUCZENIU NA PODSTAWIE ART. 24 UST. 1 USTAWY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B6271" w:rsidRPr="00AB6271" w:rsidRDefault="00AB6271" w:rsidP="00034BFD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B6271" w:rsidRPr="00AB6271" w:rsidRDefault="00AB6271" w:rsidP="00034BF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AB6271" w:rsidRPr="00AB6271" w:rsidRDefault="00AB6271" w:rsidP="00034BF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III.4.3) Dokumenty podmiotów zagranicznych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B6271" w:rsidRPr="00AB6271" w:rsidRDefault="00AB6271" w:rsidP="00034BFD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III.4.4) Dokumenty dotyczące przynależności do tej samej grupy kapitałowej</w:t>
      </w:r>
    </w:p>
    <w:p w:rsidR="00AB6271" w:rsidRPr="00AB6271" w:rsidRDefault="00AB6271" w:rsidP="00034BFD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Inne dokumenty niewymienione w pkt III.4) albo w pkt III.5)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</w:t>
      </w:r>
    </w:p>
    <w:p w:rsidR="00AB6271" w:rsidRPr="00AB6271" w:rsidRDefault="00AB6271" w:rsidP="00034BFD">
      <w:pPr>
        <w:spacing w:before="375" w:after="225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AB6271" w:rsidRPr="00AB6271" w:rsidRDefault="00AB6271" w:rsidP="00034BFD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1 - Cena - 90</w:t>
      </w:r>
    </w:p>
    <w:p w:rsidR="00AB6271" w:rsidRPr="00AB6271" w:rsidRDefault="00AB6271" w:rsidP="00034BFD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2 - Okres gwarancji - 10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034BFD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>Zmiany, jakie można wprowadzić do umowy o zamówienie publiczne</w:t>
      </w:r>
      <w:r w:rsidR="00034BF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>1. zmiany terminu wykonania zamówienia oraz terminów pośrednich, w następujących przypadkach: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>a) wystąpienie wydarzenia nieprzewidywalnego, pozostającego poza kontrolą stron niniejszej umowy, występujące po podpisaniu umowy, a powodujące niemożliwość wywiązania się z umowy w jej obecnym brzmieniu;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b) zmian istotnych przepisów prawa Unii Europejskiej lub prawa krajowego powodujących konieczność dostosowania dokumentacji do zmiany przepisów, które nastąpiły w trakcie realizacji zamówienia; 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>c) niezawinionych przez Wykonawcę opóźnień w uzyskaniu wymaganych pozwoleń, uzgodnień, decyzji lub opinii innych organów, niezbędnych do uzyskania koniecznych pozwoleń;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d) aktualizacji rozwiązań projektowych z uwagi na postęp technologiczny, zmian obowiązujących przepisów, warunków uniemożliwiających prowadzenie robót, bezpieczeństwa pracy, a także zmian wynikających z innych nieprzewidywalnych istotnych okoliczności, których wprowadzenie będzie korzystne dla Zamawiającego; </w:t>
      </w:r>
    </w:p>
    <w:p w:rsidR="00034BFD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e) wystąpienia prac zamiennych; </w:t>
      </w:r>
    </w:p>
    <w:p w:rsidR="00034BFD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f) wydłużenia terminu w związku z faktem wystąpienia zdarzeń na które strony nie mają wpływu, a które uniemożliwiają przy normalnym tempie pracy wykonanie przedmiotu umowy w terminie;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>g) wystąpienia okoliczności, których Strony umowy nie były w stanie przewidzieć pomimo zachowania należytej staranności;</w:t>
      </w:r>
    </w:p>
    <w:p w:rsidR="00034BFD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2. w pozostałym zakresie zmiany do umowy mogą dotyczyć następujących okoliczności: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a) zmiana podwykonawców w tym podwykonawców na zasobach, których Wykonawca opierał się wykazując spełnianie warunków udziału w postępowaniu pod warunkiem, że nowy podwykonawca wykaże spełnianie warunków w zakresie nie mniejszym niż wymagane w SIWZ; 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b) wprowadzenie dodatkowego podwykonawcy pod warunkiem uzyskania zgody zamawiającego </w:t>
      </w:r>
      <w:r w:rsidR="00034B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>i spełnienia warunków w zakresie nie mniejszym niż wymagane w SIWZ; c) zmiany przepisów prawa istotnych dla postanowień zawartej umowy;</w:t>
      </w:r>
    </w:p>
    <w:p w:rsidR="00034BFD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d) zmiany kluczowego personelu Wykonawcy lub Zamawiającego na skutek zdarzeń losowych, zmian kadrowo-personalnych, utraty wymaganych uprawnień, utraty stanowiska. Zmiana kluczowego personelu Wykonawcy może nastąpić wyłącznie pod warunkiem okazania uprawnień co najmniej równoważnych,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e) wprowadzenie dodatkowego personelu Wykonawcy lub podwykonawcy z przyczyn o obiektywnym charakterze, zaakceptowanych przez Zamawiającego pod warunkiem spełnienia warunków w zakresie nie mniejszym niż wymagane w SIWZ, </w:t>
      </w:r>
    </w:p>
    <w:p w:rsidR="00034BFD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g) wprowadzenie przez Wykonawcę podwykonawcy pomimo deklaracji w ofercie wykona</w:t>
      </w:r>
      <w:r w:rsidR="00034BFD">
        <w:rPr>
          <w:rFonts w:ascii="Arial" w:eastAsia="Times New Roman" w:hAnsi="Arial" w:cs="Arial"/>
          <w:sz w:val="20"/>
          <w:szCs w:val="20"/>
          <w:lang w:eastAsia="pl-PL"/>
        </w:rPr>
        <w:t>nia zamówienia siłami własnymi,</w:t>
      </w:r>
    </w:p>
    <w:p w:rsidR="00034BFD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h) ustawowa zmiana stawki podatku VAT, której zastosowania nie będzie skutkowało zmianą wartości brutto umowy,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i) poprawa jakości, walorów użytkowych lub innych parametrów charakterystycznych dla danego elementu prac lub zmiana technologii, w szczególności na skutek wystąpienia uwarunkowań technicznych odmiennych od opisanych w dokumentacji technicznej.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034BFD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sz w:val="20"/>
          <w:szCs w:val="20"/>
          <w:lang w:eastAsia="pl-PL"/>
        </w:rPr>
        <w:t>www.muzeumgornictwa.pl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br/>
        <w:t>MUZEUM GÓRNICTWA WĘGLOWEGO W ZABRZU</w:t>
      </w:r>
      <w:r w:rsidR="00034BFD">
        <w:rPr>
          <w:rFonts w:ascii="Arial" w:eastAsia="Times New Roman" w:hAnsi="Arial" w:cs="Arial"/>
          <w:sz w:val="20"/>
          <w:szCs w:val="20"/>
          <w:lang w:eastAsia="pl-PL"/>
        </w:rPr>
        <w:t xml:space="preserve"> UL. JODŁOWA 59, 41-800 ZABRZE.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09.06.2015 godzina 10:00, miejsce: Muzeum Górnictwa Węglowego w Zabrzu Dział Zamówień Publicznych ul. Jodłowa 59, 41-800 Zabrze Sekretariat pok. 1.02.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 xml:space="preserve"> Zamówienie realizowane jest w ramach projektu pn. Europejski Ośrodek Kultury Technicznej i Turystyki Przemysłowej. Zadanie współfinansowane ze środków Unii Europejskiej z Europejskiego Funduszu Rozwoju Regionalnego w ramach Programu Operacyjnego Innowacyjna Gospodarka na lata 2007-2013 Działanie 6.4 Innowacje w produkty turystyczn</w:t>
      </w:r>
      <w:r w:rsidR="00034BFD">
        <w:rPr>
          <w:rFonts w:ascii="Arial" w:eastAsia="Times New Roman" w:hAnsi="Arial" w:cs="Arial"/>
          <w:sz w:val="20"/>
          <w:szCs w:val="20"/>
          <w:lang w:eastAsia="pl-PL"/>
        </w:rPr>
        <w:t>e o znaczeniu ponadregionalnym.</w:t>
      </w:r>
      <w:bookmarkStart w:id="0" w:name="_GoBack"/>
      <w:bookmarkEnd w:id="0"/>
    </w:p>
    <w:p w:rsidR="00AB6271" w:rsidRPr="00AB6271" w:rsidRDefault="00AB6271" w:rsidP="00034BF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6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B6271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E02B5" w:rsidRDefault="005E02B5" w:rsidP="00034BFD">
      <w:pPr>
        <w:jc w:val="both"/>
      </w:pPr>
    </w:p>
    <w:sectPr w:rsidR="005E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1F9"/>
    <w:multiLevelType w:val="multilevel"/>
    <w:tmpl w:val="509C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015F"/>
    <w:multiLevelType w:val="multilevel"/>
    <w:tmpl w:val="6AD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95B85"/>
    <w:multiLevelType w:val="multilevel"/>
    <w:tmpl w:val="9C48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20B8D"/>
    <w:multiLevelType w:val="multilevel"/>
    <w:tmpl w:val="9342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83F49"/>
    <w:multiLevelType w:val="multilevel"/>
    <w:tmpl w:val="312A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E46CF"/>
    <w:multiLevelType w:val="multilevel"/>
    <w:tmpl w:val="7882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20507"/>
    <w:multiLevelType w:val="multilevel"/>
    <w:tmpl w:val="FEDA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4C"/>
    <w:rsid w:val="00034BFD"/>
    <w:rsid w:val="005E02B5"/>
    <w:rsid w:val="00AB6271"/>
    <w:rsid w:val="00E0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D9A38-DC0C-436D-BD64-A4750A6F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1879</Words>
  <Characters>11276</Characters>
  <Application>Microsoft Office Word</Application>
  <DocSecurity>0</DocSecurity>
  <Lines>93</Lines>
  <Paragraphs>26</Paragraphs>
  <ScaleCrop>false</ScaleCrop>
  <Company/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3</cp:revision>
  <dcterms:created xsi:type="dcterms:W3CDTF">2015-05-27T08:39:00Z</dcterms:created>
  <dcterms:modified xsi:type="dcterms:W3CDTF">2015-05-27T08:48:00Z</dcterms:modified>
</cp:coreProperties>
</file>