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D" w:rsidRPr="009652FD" w:rsidRDefault="009652FD" w:rsidP="009652FD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9652F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ZP/65/MGW/2015 </w:t>
      </w:r>
      <w:r w:rsidRPr="009652F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Wykonanie systemu rewersji wentylatora głównego przy szybie GUIDO wraz zakupem wentylatora.</w:t>
      </w:r>
      <w:r w:rsidRPr="009652F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652F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226776 - 2015; data zamieszczenia: 02.09.2015</w:t>
      </w:r>
      <w:r w:rsidRPr="009652F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5248"/>
      </w:tblGrid>
      <w:tr w:rsidR="009652FD" w:rsidRPr="009652FD" w:rsidTr="009652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652FD" w:rsidRPr="009652FD" w:rsidTr="009652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652FD" w:rsidRPr="009652FD" w:rsidTr="009652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652FD" w:rsidRPr="009652FD" w:rsidRDefault="009652FD" w:rsidP="009652F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9652FD" w:rsidRPr="009652FD" w:rsidRDefault="009652FD" w:rsidP="009652F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9652FD" w:rsidRPr="009652FD" w:rsidRDefault="009652FD" w:rsidP="009652F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9652FD" w:rsidRPr="009652FD" w:rsidRDefault="009652FD" w:rsidP="009652F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ZP/65/MGW/2015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Wykonanie systemu rewersji wentylatora głównego przy szybie GUIDO wraz zakupem wentylatora..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Przedmiotem zamówienia jest wykonanie systemu rewersji powietrza w stacji wentylatorów głównych przy szybie Guido wraz z zakupem wentylatora.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Zamówienie składa się z dwóch zadań: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Zadanie 1. Zakup wentylatora niezbędnego do prawidłowego prowadzenia prac związanych z zabezpieczeniem i ratowaniem części zabytkowych zakładu górniczego;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Zadanie 2. Wykonanie systemu rewersji wentylatora głównego przy szybie Guido Zadanie drugie realizowane będzie w trzech etapach na podstawie przedstawionego w załącznikach projektu wykonawczego,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Etap 1. Wykonanie, dostawa i montaż elementów konstrukcji wsporczych;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Etap 2. Wykonanie, dostawa i montaż elementów kanałów wentylacyjnych i wykonanie otworu montażowego;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Etap 3. Dostawa elementów wyposażenia elektrycznego wraz z układem zdalnego sterowania i wizualizacji pracy wentylatorów..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9652FD" w:rsidRPr="009652FD" w:rsidTr="009652F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9652FD" w:rsidRPr="009652FD" w:rsidRDefault="009652FD" w:rsidP="009652FD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9652FD" w:rsidRPr="009652FD" w:rsidRDefault="009652FD" w:rsidP="009652FD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przewiduje udzielanie zamówień uzupełniających, o których mowa w art. 67 ust.1 pkt 6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do wysokości 50 % wartości zamówienia podstawowego.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Informacja o przewidywanych zamówieniach uzupełniających: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Główny przedmiot zamówienia: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45000000-7 Roboty budowlane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Dodatkowy przedmiot zamówienia: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44212300-2 Konstrukcje i ich części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39714110-4 Wentylatory wyciągowe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45223000-6 Roboty budowlane w zakresie konstrukcji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44.21.23.00-2, 45.22.30.00-6, 39.71.41.10-4.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30.04.2016.</w:t>
      </w:r>
    </w:p>
    <w:p w:rsidR="009652FD" w:rsidRPr="009652FD" w:rsidRDefault="009652FD" w:rsidP="009652F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żąda od Wykonawców wniesienia wadium w wysokości: 9.000,00 PLN, (słownie: dziewięć tysięcy zł.) zabezpieczającego ofertę na okres 30 dni od daty składania ofert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652FD" w:rsidRPr="009652FD" w:rsidRDefault="009652FD" w:rsidP="009652F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652FD" w:rsidRPr="009652FD" w:rsidRDefault="009652FD" w:rsidP="009652F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652FD" w:rsidRPr="009652FD" w:rsidRDefault="009652FD" w:rsidP="009652F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BR&gt; Zamawiający nie precyzuje warunku w ww. zakresie. Zamawiający żąda złożenia oświadczenia z art. 22 ust. 1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9652FD" w:rsidRPr="009652FD" w:rsidRDefault="009652FD" w:rsidP="009652F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652FD" w:rsidRPr="009652FD" w:rsidRDefault="009652FD" w:rsidP="009652F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652FD" w:rsidRPr="009652FD" w:rsidRDefault="009652FD" w:rsidP="009652F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Opis sposobu dokonania oceny spełnienia warunku. Warunek zostanie spełniony, jeżeli Wykonawca wykaże, że w okresie ostatnich pięciu lat przed upływem terminu składania ofert, a jeżeli okres, a jeżeli okres prowadzenia działalności jest krótszy - w tym okresie, wykonał należycie roboty w zakresie niezbędnym do spełnienia warunku wiedzy i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doświadczenia tj.: minimum jedną robotę o wartości nie mniejszej niż 100 000,00 zł netto obejmującą montaż wentylatora przeznaczonego do wentylacji w zakładach górniczych.</w:t>
      </w:r>
    </w:p>
    <w:p w:rsidR="009652FD" w:rsidRPr="009652FD" w:rsidRDefault="009652FD" w:rsidP="009652F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652FD" w:rsidRPr="009652FD" w:rsidRDefault="009652FD" w:rsidP="009652F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652FD" w:rsidRPr="009652FD" w:rsidRDefault="009652FD" w:rsidP="009652F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a jego weryfikacja zostanie przeprowadzona wg formuły: (spełnia)-(nie spełnia).</w:t>
      </w:r>
    </w:p>
    <w:p w:rsidR="009652FD" w:rsidRPr="009652FD" w:rsidRDefault="009652FD" w:rsidP="009652F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9652FD" w:rsidRPr="009652FD" w:rsidRDefault="009652FD" w:rsidP="009652F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652FD" w:rsidRPr="009652FD" w:rsidRDefault="009652FD" w:rsidP="009652F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uzna powyższy warunek za spełniony jeżeli Wykonawca wykaże, że dysponuje lub będzie dysponował nw. osobami zdolnymi do wykonania zamówienia (które będą uczestniczyć w wykonywaniu zamówienia):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a)Kierownik Budowy - (1 osoba) posiadająca uprawnienia budowlane do kierowania robotami budowlanymi w specjalności konstrukcyjno-budowlanej bez ograniczeń (zgodnie z Rozporządzeniem Ministra Transportu i Budownictwa z dnia 28.04.2006 w sprawie samodzielnych funkcji technicznych w budownictwie - Dz. U. Nr 83, poz. 578) lub odpowiadające im uprawnienia budowlane, które zostały wydane na podstawie wcześniej lub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innychobowiązujących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przepisów oraz zatwierdzenie OUG w charakterze co najmniej osoby średniego dozoru ruchu w specjalności budowlanej dla górniczych robót budowlanych wykonywanych na powierzchni kopalni węgla kamiennego.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b)Kierownik robót - (1 osoba) - posiada uprawnienia budowlane do kierowania robotami budowlanymi w specjalności instalacyjnej w zakresie sieci, instalacji i urządzeń elektrycznych robotami bez ograniczeń (zgodnie z rozporządzeniem Ministra Transportu i Budownictwa z dnia 28.04.2006 w sprawie samodzielnych funkcji technicznych w budownictwie Dz. U. Nr 83, poz.578) lub odpowiadające im uprawnienia budowlane, które zostały wydane na podstawie wcześniej lub innych obowiązujących przepisów).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c)Osoby dozoru wyższego: 1 osoba posiadająca kwalifikacje zawodowe, które są zobowiązane posiadać osoby wykonujące czynności w wyższym dozorze ruchu w podziemnych zakładach górniczych w specjalności mechanicznej - maszyn i urządzeń na powierzchni lub maszyn i urządzeń dołowych,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 osoba posiadająca kwalifikacje zawodowe, które są zobowiązane posiadać osoby wykonujące czynności w wyższym dozorze ruchu w podziemnych zakładach górniczych w specjalności elektrycznej - maszyn i urządzeń na powierzchni lub maszyn i urządzeń dołowych,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d)Osoby średniego dozoru: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 osoba posiadająca kwalifikacje zawodowe, które są zobowiązane posiadać osoby wykonujące czynności w średnim dozorze ruchu w podziemnych zakładach górniczych w specjalności mechanicznej - maszyn i urządzeń na powierzchni lub maszyn i urządzeń dołowych,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 osoba posiadająca kwalifikacje zawodowe, które są zobowiązane posiadać osoby wykonujące czynności w średnim dozorze ruchu w podziemnych zakładach górniczych w specjalności elektrycznej - maszyn i urządzeń na powierzchni lub maszyn i urządzeń dołowych posiadająca świadectwo kwalifikacyjne uprawniające do zajmowania się eksploatacją urządzeń, instalacji i sieci na stanowisku dozoru,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e)Elektromonter urządzeń elektrycznych (min. 2 osoby): kwalifikacje zawodowe: świadectwo kwalifikacyjne uprawniające do zajmowania się eksploatacją urządzeń, instalacji i sieci na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stanowisku eksploatacji, Kwalifikacje osób wskazanych w pkt c), d) powinny odpowiadać wymaganiom Rozporządzenia Ministra Środowiska z dnia 15 grudnia 2011r. w sprawie kwalifikacji w zakresie górnictwa i ratownictwa górniczego.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Kwalifikacje elektryczne osób wymienionych w pkt. d), e) powinny spełniać wymagania Ustawy z dnia 10 kwietnia 1997 roku - Prawo energetyczne oraz Rozporządzenia Ministra Gospodarki, Pracy i Polityki Społecznej z dnia 28 kwietnia 2003r. w spawie szczegółowych zasad stwierdzania posiadania kwalifikacji przez osoby zajmujące się eksploatacją urządzeń, instalacji i sieci - dla napięcia do 1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uzna powyższy warunek również za spełniony jeżeli Wykonawca dysponować będzie osobami posiadającymi kwalifikacje równoważne, wydane w oparciu o wcześniej obowiązujące przepisy.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Uwaga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W przypadku Wykonawców zagranicznych, w stosunku do osób od których wymagane są: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1)Uprawnienia budowlane zgodnie z ustawą Prawo budowlane, Zamawiający dopuszcza kwalifikacje, zdobyte w innych państwach, na zasadach określonych w art. 12 ustawy Prawo budowlane, z uwzględnieniem postanowień ustawy z dnia 18 marca 2008 roku o zasadach uznawania kwalifikacji zawodowych nabytych w państwach członkowskich Unii Europejskiej (Dz. U. z 2008 r. Nr 63, poz. 394 ze zm.).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2)W przypadku Wykonawców zagranicznych, Zamawiający dopuszcza równoważne kwalifikacje, zdobyte w innych państwach, na zasadach określonych w Ustawie z dnia 09 czerwca 2011r. Prawo geologiczne i górnicze (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. Nr 163, poz. 981), Rozporządzeniu Ministra Gospodarki z dnia 11 czerwca 2002 r., w sprawie kwalifikacji wymaganych od osób kierownictwa i dozoru ruchu zakładów górniczych, mierniczego górniczego i geologa górniczego oraz wykazu stanowisk w ruchu zakładu górniczego, które wymagają szczególnych kwalifikacji (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. nr 84, poz. 755, z 2004 r. Nr 101, poz. 1035 oraz z 2007 r., Nr 204, poz. 1474), z uwzględnieniem postanowień Ustawy o zasadach uznawania kwalifikacji zawodowych nabytych w państwach członkowskich Unii Europejskiej (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. z 18 marca 2008 r., Nr 63, poz. 394). Szczegółowe zasady postępowania znajdują się na stronie internetowej Wyższego Urzędu Górniczego.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3)Jeżeli zakres robót przedstawionych w dokumencie złożonym na potwierdzenie,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udziału w postępowaniu w zakresie wymaganego doświadczenia.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4)Równowartość w złotych zadań rozliczanych w walutach obcych zostanie określona według średniego kursu złotego w stosunku do walut obcych ogłoszonego przez NBP obowiązującego w dniu, w którym ogłoszenie o niniejszym postępowaniu zostało przekazane do Biuletynu Zamówień Publicznych.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5) W przypadku, gdy Wykonawca polega na zasobach innych podmiotów przy wykazaniu spełniania warunku wiedzy i doświadczenia, zobowiązany jest wykazać udział tych podmiotów w wykonaniu zamówienia.</w:t>
      </w:r>
    </w:p>
    <w:p w:rsidR="009652FD" w:rsidRPr="009652FD" w:rsidRDefault="009652FD" w:rsidP="009652FD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652FD" w:rsidRPr="009652FD" w:rsidRDefault="009652FD" w:rsidP="009652FD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652FD" w:rsidRPr="009652FD" w:rsidRDefault="009652FD" w:rsidP="009652FD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Warunek finansowy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Zamawiający nie precyzuje warunku w ww. zakresie. Zamawiający żąda złożenia oświadczenia z art. 22 ust. 1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a jego weryfikacja zostanie przeprowadzona wg formuły: (spełnia)-(nie spełnia).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Warunek ekonomiczny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Zamawiający uzna powyższy warunek za spełniony jeżeli wykonawca wykaże, że posiada ubezpieczenie od odpowiedzialności cywilnej w zakresie prowadzonej działalności związanej z przedmiotem zamówienia na sumę nie mniejszą niż 150.000,00 PLN 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652FD" w:rsidRPr="009652FD" w:rsidRDefault="009652FD" w:rsidP="009652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652FD" w:rsidRPr="009652FD" w:rsidRDefault="009652FD" w:rsidP="009652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652FD" w:rsidRPr="009652FD" w:rsidRDefault="009652FD" w:rsidP="009652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652FD" w:rsidRPr="009652FD" w:rsidRDefault="009652FD" w:rsidP="009652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652FD" w:rsidRPr="009652FD" w:rsidRDefault="009652FD" w:rsidP="009652F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9652FD" w:rsidRPr="009652FD" w:rsidRDefault="009652FD" w:rsidP="009652F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652FD" w:rsidRPr="009652FD" w:rsidRDefault="009652FD" w:rsidP="009652FD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9652FD" w:rsidRPr="009652FD" w:rsidRDefault="009652FD" w:rsidP="009652FD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2. Wykonawcy mogą wspólnie ubiegać się o udzielenie zamówienia.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Wykonawcy, którzy wspólnie ubiegają się o udzielenie zamówienia ustanawiają pełnomocnika do reprezentowania ich w postępowaniu o udzielenie zamówienia - w tym złożenia oświadczenia o spełnianiu warunków udziału w postępowaniu w imieniu i na rzecz Wykonawców wspólnie ubiegających się o udzielenie zamówienia, albo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reprezentowania w postępowaniu - w tym złożenia oświadczenia o spełnianiu warunków udziału w postępowaniu w imieniu i na rzecz Wykonawców wspólnie ubiegających się o udzielenie zamówienia, i zawarcia umowy w sprawie zamówienia publicznego.</w:t>
      </w:r>
    </w:p>
    <w:p w:rsidR="009652FD" w:rsidRPr="009652FD" w:rsidRDefault="009652FD" w:rsidP="009652FD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652FD" w:rsidRPr="009652FD" w:rsidRDefault="009652FD" w:rsidP="009652FD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9652FD" w:rsidRPr="009652FD" w:rsidRDefault="009652FD" w:rsidP="009652FD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2 - Okres gwarancji </w:t>
      </w:r>
      <w:proofErr w:type="spellStart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jakośc</w:t>
      </w:r>
      <w:proofErr w:type="spellEnd"/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- 5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9652FD" w:rsidRPr="009652FD" w:rsidTr="009652F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52FD" w:rsidRPr="009652FD" w:rsidRDefault="009652FD" w:rsidP="0096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65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Zmiany, jakie można wprowadzić do umowy o zamówienie publiczne: 1. Zmiany terminu wykonania zamówienia oraz terminów pośrednich, w następujących przypadkach: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a)wystąpienie wydarzenia nieprzewidywalnego, pozostającego poza kontrolą stron niniejszej umowy, występujące po podpisaniu umowy, a powodujące niemożliwość wywiązania się z umowy w jej obecnym brzmieniu;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b) zmian istotnych przepisów prawa Unii Europejskiej lub prawa krajowego powodujących konieczność dostosowania dokumentacji do zmiany przepisów, które nastąpiły w trakcie realizacji zamówienia;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c) niezawinionych przez Wykonawcę opóźnień w uzyskaniu wymaganych pozwoleń, uzgodnień, decyzji lub opinii innych organów, niezbędnych do uzyskania koniecznych pozwoleń;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d)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e) wystąpienia robót zamiennych lub dodatkowych;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f) wydłużenia terminu w związku z faktem wystąpienia zdarzeń na które strony nie mają wpływu, a które uniemożliwiają przy normalnym tempie pracy wykonanie przedmiotu umowy w terminie.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g) powstanie kolizji z innymi robotami wykonywanymi przez zamawiającego lub podmiot zewnętrzny - na terenie udowy lub w jego bezpośrednim sąsiedztwie - uniemożliwiających wykonywanie robót.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2. w pozostałym zakresie zmiany do umowy mogą dotyczyć następujących okoliczności: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a) zmiana podwykonawców w tym podwykonawców na zasobach, których Wykonawca opierał się wykazując spełnianie warunków udziału w postępowaniu pod warunkiem, że nowy podwykonawca wykaże spełnianie warunków w zakresie nie mniejszym niż wymagane w SIWZ;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b) wprowadzenie dodatkowego podwykonawcy pod warunkiem uzyskania zgody zamawiającego i spełnienia warunków w zakresie nie mniejszym niż wymagane w SIWZ;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c) zmiany przepisów prawa istotnych dla postanowień zawartej umowy;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e) wprowadzenie dodatkowego personelu Wykonawcy lub podwykonawcy z przyczyn o obiektywnym charakterze, zaakceptowanych przez Zamawiającego pod warunkiem spełnienia warunków w zakresie nie mniejszym niż wymagane w SIWZ,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g) wprowadzenie przez Wykonawcę podwykonawcy pomimo deklaracji w ofercie wykonania zamówienia siłami własnymi,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h) ustawowa zmiana stawki podatku VAT, której zastosowania nie będzie skutkowało zmianą wartości brutto umowy,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i) ograniczenia przedmiotu zamówienia, w szczególności w przypadku kiedy Zamawiający nie mógł takiej sytuacji przewidzieć,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j) poprawa jakości, walorów użytkowych lub innych parametrów charakterystycznych dla danego elementu prac lub zmiana technologii, w szczególności na skutek wystąpienia uwarunkowań technicznych odmiennych od opisanych w dokumentacji technicznej.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www.muzeumgornictwa.pl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Jodowa 59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41-800 Zabrze.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17.09.2015 godzina 10:00, miejsce: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59, 41- 800 Zabrze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Sekretariat pok. Nr 1.02.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4. Termin wykonania zamówienia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Wykonawca zrealizuje przedmiot zamówienia w nieprzekraczalnym terminie: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Zadanie 1: Termin dostawy wentylatora niezbędnego do prawidłowego prowadzenia prac związanych z zabezpieczeniem i ratowaniem części zabytkowych zakładu górniczego - w terminie do 50 dni od daty podpisania umowy.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Zadanie 2: Terminy realizacji poszczególnych etapów w zakresie wykonania systemu rewersji wentylatora głównego przy szybie Guido: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Etap 1. Wykonanie dostawy i montażu elementów konstrukcji wsporczych - do 10.12.2015r.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Etap 2. Wykonanie dostawy i montaż elementów kanałów wentylacyjnych i wykonanie otworu montażowego;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- przewidywany termin - 10 tygodni od daty podpisania umowy lecz nie później niż do 10.12.2015r.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br/>
        <w:t>Etap 3. Dostawa elementów wyposażenia elektrycznego wraz z układem zdalnego sterowania i wizualizacji pracy wentylatorów - nie później iż do 30.04.2016r..</w:t>
      </w:r>
    </w:p>
    <w:p w:rsidR="009652FD" w:rsidRPr="009652FD" w:rsidRDefault="009652FD" w:rsidP="009652FD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652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652F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D5DDF" w:rsidRDefault="00BD5DDF">
      <w:bookmarkStart w:id="0" w:name="_GoBack"/>
      <w:bookmarkEnd w:id="0"/>
    </w:p>
    <w:sectPr w:rsidR="00BD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BB5"/>
    <w:multiLevelType w:val="multilevel"/>
    <w:tmpl w:val="7A0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66BC2"/>
    <w:multiLevelType w:val="multilevel"/>
    <w:tmpl w:val="6746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03D31"/>
    <w:multiLevelType w:val="multilevel"/>
    <w:tmpl w:val="657E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E3076"/>
    <w:multiLevelType w:val="multilevel"/>
    <w:tmpl w:val="A53A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A10D5"/>
    <w:multiLevelType w:val="multilevel"/>
    <w:tmpl w:val="EC0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80E34"/>
    <w:multiLevelType w:val="multilevel"/>
    <w:tmpl w:val="069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A3572"/>
    <w:multiLevelType w:val="multilevel"/>
    <w:tmpl w:val="251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51BD9"/>
    <w:multiLevelType w:val="multilevel"/>
    <w:tmpl w:val="326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6D"/>
    <w:rsid w:val="009652FD"/>
    <w:rsid w:val="00BD5DDF"/>
    <w:rsid w:val="00E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856A1-CA16-4F88-B646-2462C07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2989</Words>
  <Characters>17938</Characters>
  <Application>Microsoft Office Word</Application>
  <DocSecurity>0</DocSecurity>
  <Lines>149</Lines>
  <Paragraphs>41</Paragraphs>
  <ScaleCrop>false</ScaleCrop>
  <Company/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2015-09-02T08:27:00Z</dcterms:created>
  <dcterms:modified xsi:type="dcterms:W3CDTF">2015-09-02T08:27:00Z</dcterms:modified>
</cp:coreProperties>
</file>