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58" w:rsidRPr="006E6858" w:rsidRDefault="006E6858" w:rsidP="006E6858">
      <w:pPr>
        <w:spacing w:after="0" w:line="240" w:lineRule="auto"/>
        <w:rPr>
          <w:rFonts w:ascii="Arial" w:eastAsia="Times New Roman" w:hAnsi="Arial" w:cs="Arial"/>
          <w:b/>
          <w:bCs/>
          <w:sz w:val="20"/>
          <w:szCs w:val="20"/>
          <w:lang w:eastAsia="pl-PL"/>
        </w:rPr>
      </w:pPr>
      <w:r w:rsidRPr="006E6858">
        <w:rPr>
          <w:rFonts w:ascii="Arial" w:eastAsia="Times New Roman" w:hAnsi="Arial" w:cs="Arial"/>
          <w:b/>
          <w:bCs/>
          <w:sz w:val="20"/>
          <w:szCs w:val="20"/>
          <w:lang w:eastAsia="pl-PL"/>
        </w:rPr>
        <w:t xml:space="preserve">ZP/09/MGW/2014  </w:t>
      </w:r>
    </w:p>
    <w:p w:rsidR="006E6858" w:rsidRPr="006E6858" w:rsidRDefault="006E6858" w:rsidP="006E6858">
      <w:pPr>
        <w:spacing w:after="0" w:line="240" w:lineRule="auto"/>
        <w:rPr>
          <w:rFonts w:ascii="Times New Roman" w:eastAsia="Times New Roman" w:hAnsi="Times New Roman"/>
          <w:b/>
          <w:bCs/>
          <w:sz w:val="20"/>
          <w:szCs w:val="20"/>
          <w:lang w:eastAsia="pl-PL"/>
        </w:rPr>
      </w:pPr>
      <w:r w:rsidRPr="006E6858">
        <w:rPr>
          <w:rFonts w:ascii="Times New Roman" w:eastAsia="Times New Roman" w:hAnsi="Times New Roman"/>
          <w:b/>
          <w:bCs/>
          <w:sz w:val="20"/>
          <w:szCs w:val="20"/>
          <w:lang w:eastAsia="pl-PL"/>
        </w:rPr>
        <w:t xml:space="preserve">Informacja o wyborze najkorzystniejszej oferty </w:t>
      </w:r>
    </w:p>
    <w:p w:rsidR="006E6858" w:rsidRPr="006E6858" w:rsidRDefault="006E6858" w:rsidP="006E6858">
      <w:pPr>
        <w:keepNext/>
        <w:keepLines/>
        <w:widowControl w:val="0"/>
        <w:pBdr>
          <w:top w:val="single" w:sz="6" w:space="5" w:color="auto" w:shadow="1"/>
          <w:left w:val="single" w:sz="6" w:space="5" w:color="auto" w:shadow="1"/>
          <w:bottom w:val="single" w:sz="6" w:space="5" w:color="auto" w:shadow="1"/>
          <w:right w:val="single" w:sz="6" w:space="5" w:color="auto" w:shadow="1"/>
        </w:pBdr>
        <w:tabs>
          <w:tab w:val="left" w:pos="-360"/>
        </w:tabs>
        <w:spacing w:after="0" w:line="240" w:lineRule="auto"/>
        <w:jc w:val="both"/>
        <w:rPr>
          <w:rFonts w:ascii="Arial" w:eastAsia="Times New Roman" w:hAnsi="Arial" w:cs="Arial"/>
          <w:b/>
          <w:sz w:val="16"/>
          <w:szCs w:val="16"/>
          <w:lang w:eastAsia="pl-PL"/>
        </w:rPr>
      </w:pPr>
      <w:r w:rsidRPr="006E6858">
        <w:rPr>
          <w:rFonts w:ascii="Arial" w:eastAsia="Times New Roman" w:hAnsi="Arial" w:cs="Arial"/>
          <w:b/>
          <w:sz w:val="16"/>
          <w:szCs w:val="16"/>
          <w:lang w:eastAsia="pl-PL"/>
        </w:rPr>
        <w:t>1) Zamawiający:</w:t>
      </w:r>
    </w:p>
    <w:p w:rsidR="006E6858" w:rsidRPr="006E6858" w:rsidRDefault="006E6858" w:rsidP="006E6858">
      <w:pPr>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jc w:val="both"/>
        <w:rPr>
          <w:rFonts w:ascii="Arial" w:eastAsia="Times New Roman" w:hAnsi="Arial" w:cs="Arial"/>
          <w:b/>
          <w:bCs/>
          <w:sz w:val="16"/>
          <w:szCs w:val="16"/>
          <w:lang w:eastAsia="pl-PL"/>
        </w:rPr>
      </w:pPr>
      <w:r w:rsidRPr="006E6858">
        <w:rPr>
          <w:rFonts w:ascii="Arial" w:eastAsia="Times New Roman" w:hAnsi="Arial" w:cs="Arial"/>
          <w:sz w:val="16"/>
          <w:szCs w:val="16"/>
          <w:lang w:eastAsia="pl-PL"/>
        </w:rPr>
        <w:t>a) pełna nazwa zamawiającego: Muzeum Górnictwa Węglowego</w:t>
      </w:r>
    </w:p>
    <w:p w:rsidR="006E6858" w:rsidRPr="006E6858" w:rsidRDefault="006E6858" w:rsidP="006E6858">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jc w:val="both"/>
        <w:rPr>
          <w:rFonts w:ascii="Arial" w:eastAsia="Times New Roman" w:hAnsi="Arial" w:cs="Arial"/>
          <w:sz w:val="16"/>
          <w:szCs w:val="16"/>
          <w:lang w:eastAsia="pl-PL"/>
        </w:rPr>
      </w:pPr>
      <w:r w:rsidRPr="006E6858">
        <w:rPr>
          <w:rFonts w:ascii="Arial" w:eastAsia="Times New Roman" w:hAnsi="Arial" w:cs="Arial"/>
          <w:sz w:val="16"/>
          <w:szCs w:val="16"/>
          <w:lang w:eastAsia="pl-PL"/>
        </w:rPr>
        <w:t>b) REGON:</w:t>
      </w:r>
      <w:r w:rsidRPr="006E6858">
        <w:rPr>
          <w:rFonts w:ascii="Arial" w:eastAsia="Times New Roman" w:hAnsi="Arial" w:cs="Arial"/>
          <w:b/>
          <w:bCs/>
          <w:sz w:val="16"/>
          <w:szCs w:val="16"/>
          <w:lang w:eastAsia="pl-PL"/>
        </w:rPr>
        <w:t xml:space="preserve"> |__2_|_4__|__3_|_2__|__2_|_0__|_4__|_2 _|_0 _|</w:t>
      </w:r>
    </w:p>
    <w:p w:rsidR="006E6858" w:rsidRPr="006E6858" w:rsidRDefault="006E6858" w:rsidP="006E6858">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jc w:val="both"/>
        <w:rPr>
          <w:rFonts w:ascii="Arial" w:eastAsia="Times New Roman" w:hAnsi="Arial" w:cs="Arial"/>
          <w:sz w:val="16"/>
          <w:szCs w:val="16"/>
          <w:lang w:eastAsia="pl-PL"/>
        </w:rPr>
      </w:pPr>
      <w:r w:rsidRPr="006E6858">
        <w:rPr>
          <w:rFonts w:ascii="Arial" w:eastAsia="Times New Roman" w:hAnsi="Arial" w:cs="Arial"/>
          <w:sz w:val="16"/>
          <w:szCs w:val="16"/>
          <w:lang w:eastAsia="pl-PL"/>
        </w:rPr>
        <w:t>c) kod, miejscowość, województwo, powiat:</w:t>
      </w:r>
    </w:p>
    <w:p w:rsidR="006E6858" w:rsidRPr="006E6858" w:rsidRDefault="006E6858" w:rsidP="006E6858">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jc w:val="both"/>
        <w:rPr>
          <w:rFonts w:ascii="Arial" w:eastAsia="Times New Roman" w:hAnsi="Arial" w:cs="Arial"/>
          <w:sz w:val="16"/>
          <w:szCs w:val="16"/>
          <w:lang w:eastAsia="pl-PL"/>
        </w:rPr>
      </w:pPr>
      <w:r w:rsidRPr="006E6858">
        <w:rPr>
          <w:rFonts w:ascii="Arial" w:eastAsia="Times New Roman" w:hAnsi="Arial" w:cs="Arial"/>
          <w:b/>
          <w:bCs/>
          <w:sz w:val="16"/>
          <w:szCs w:val="16"/>
          <w:lang w:eastAsia="pl-PL"/>
        </w:rPr>
        <w:t xml:space="preserve">    41 – 800 Zabrze, śląskie, Zabrze</w:t>
      </w:r>
    </w:p>
    <w:p w:rsidR="006E6858" w:rsidRPr="006E6858" w:rsidRDefault="006E6858" w:rsidP="006E6858">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jc w:val="both"/>
        <w:rPr>
          <w:rFonts w:ascii="Arial" w:eastAsia="Times New Roman" w:hAnsi="Arial" w:cs="Arial"/>
          <w:sz w:val="16"/>
          <w:szCs w:val="16"/>
          <w:lang w:eastAsia="pl-PL"/>
        </w:rPr>
      </w:pPr>
      <w:r w:rsidRPr="006E6858">
        <w:rPr>
          <w:rFonts w:ascii="Arial" w:eastAsia="Times New Roman" w:hAnsi="Arial" w:cs="Arial"/>
          <w:sz w:val="16"/>
          <w:szCs w:val="16"/>
          <w:lang w:eastAsia="pl-PL"/>
        </w:rPr>
        <w:t>d) ulica, nr domu, nr lokalu: Jodłowa 59</w:t>
      </w:r>
    </w:p>
    <w:p w:rsidR="006E6858" w:rsidRPr="006E6858" w:rsidRDefault="006E6858" w:rsidP="006E6858">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jc w:val="both"/>
        <w:rPr>
          <w:rFonts w:ascii="Arial" w:eastAsia="Times New Roman" w:hAnsi="Arial" w:cs="Arial"/>
          <w:sz w:val="16"/>
          <w:szCs w:val="16"/>
          <w:lang w:val="en-US" w:eastAsia="pl-PL"/>
        </w:rPr>
      </w:pPr>
      <w:r w:rsidRPr="006E6858">
        <w:rPr>
          <w:rFonts w:ascii="Arial" w:eastAsia="Times New Roman" w:hAnsi="Arial" w:cs="Arial"/>
          <w:sz w:val="16"/>
          <w:szCs w:val="16"/>
          <w:lang w:val="en-US" w:eastAsia="pl-PL"/>
        </w:rPr>
        <w:t xml:space="preserve">e) internet: </w:t>
      </w:r>
      <w:r w:rsidR="0066162B">
        <w:fldChar w:fldCharType="begin"/>
      </w:r>
      <w:r w:rsidR="0066162B" w:rsidRPr="00D80EEC">
        <w:rPr>
          <w:lang w:val="en-US"/>
        </w:rPr>
        <w:instrText xml:space="preserve"> HYPERLINK "http://www.muzeumgornictwa.pl" </w:instrText>
      </w:r>
      <w:r w:rsidR="0066162B">
        <w:fldChar w:fldCharType="separate"/>
      </w:r>
      <w:r w:rsidRPr="006E6858">
        <w:rPr>
          <w:rFonts w:ascii="Arial" w:eastAsia="Times New Roman" w:hAnsi="Arial" w:cs="Arial"/>
          <w:color w:val="0000FF"/>
          <w:sz w:val="16"/>
          <w:szCs w:val="16"/>
          <w:u w:val="single"/>
          <w:lang w:val="en-US" w:eastAsia="pl-PL"/>
        </w:rPr>
        <w:t>www.muzeumgornictwa.pl</w:t>
      </w:r>
      <w:r w:rsidR="0066162B">
        <w:rPr>
          <w:rFonts w:ascii="Arial" w:eastAsia="Times New Roman" w:hAnsi="Arial" w:cs="Arial"/>
          <w:color w:val="0000FF"/>
          <w:sz w:val="16"/>
          <w:szCs w:val="16"/>
          <w:u w:val="single"/>
          <w:lang w:val="en-US" w:eastAsia="pl-PL"/>
        </w:rPr>
        <w:fldChar w:fldCharType="end"/>
      </w:r>
      <w:r w:rsidRPr="006E6858">
        <w:rPr>
          <w:rFonts w:ascii="Arial" w:eastAsia="Times New Roman" w:hAnsi="Arial" w:cs="Arial"/>
          <w:sz w:val="16"/>
          <w:szCs w:val="16"/>
          <w:lang w:val="de-DE" w:eastAsia="pl-PL"/>
        </w:rPr>
        <w:tab/>
      </w:r>
      <w:r w:rsidRPr="006E6858">
        <w:rPr>
          <w:rFonts w:ascii="Arial" w:eastAsia="Times New Roman" w:hAnsi="Arial" w:cs="Arial"/>
          <w:sz w:val="16"/>
          <w:szCs w:val="16"/>
          <w:lang w:val="en-US" w:eastAsia="pl-PL"/>
        </w:rPr>
        <w:tab/>
        <w:t>e-mail: biuro@muzeumgornictwa.pl</w:t>
      </w:r>
      <w:r w:rsidRPr="006E6858">
        <w:rPr>
          <w:rFonts w:ascii="Arial" w:eastAsia="Times New Roman" w:hAnsi="Arial" w:cs="Arial"/>
          <w:sz w:val="16"/>
          <w:szCs w:val="16"/>
          <w:lang w:val="en-US" w:eastAsia="pl-PL"/>
        </w:rPr>
        <w:tab/>
      </w:r>
    </w:p>
    <w:p w:rsidR="006E6858" w:rsidRPr="006E6858" w:rsidRDefault="006E6858" w:rsidP="006E6858">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jc w:val="both"/>
        <w:rPr>
          <w:rFonts w:ascii="Arial" w:eastAsia="Times New Roman" w:hAnsi="Arial" w:cs="Arial"/>
          <w:b/>
          <w:bCs/>
          <w:sz w:val="16"/>
          <w:szCs w:val="16"/>
          <w:lang w:val="en-US" w:eastAsia="pl-PL"/>
        </w:rPr>
      </w:pPr>
      <w:r w:rsidRPr="006E6858">
        <w:rPr>
          <w:rFonts w:ascii="Arial" w:eastAsia="Times New Roman" w:hAnsi="Arial" w:cs="Arial"/>
          <w:sz w:val="16"/>
          <w:szCs w:val="16"/>
          <w:lang w:val="en-US" w:eastAsia="pl-PL"/>
        </w:rPr>
        <w:t xml:space="preserve">f) </w:t>
      </w:r>
      <w:r w:rsidRPr="006E6858">
        <w:rPr>
          <w:rFonts w:ascii="Arial" w:eastAsia="Times New Roman" w:hAnsi="Arial" w:cs="Arial"/>
          <w:b/>
          <w:bCs/>
          <w:sz w:val="16"/>
          <w:szCs w:val="16"/>
          <w:lang w:val="en-US" w:eastAsia="pl-PL"/>
        </w:rPr>
        <w:t xml:space="preserve"> </w:t>
      </w:r>
      <w:r w:rsidRPr="006E6858">
        <w:rPr>
          <w:rFonts w:ascii="Arial" w:eastAsia="Times New Roman" w:hAnsi="Arial" w:cs="Arial"/>
          <w:sz w:val="16"/>
          <w:szCs w:val="16"/>
          <w:lang w:val="en-US" w:eastAsia="pl-PL"/>
        </w:rPr>
        <w:t>tel.</w:t>
      </w:r>
      <w:r w:rsidRPr="006E6858">
        <w:rPr>
          <w:rFonts w:ascii="Arial" w:eastAsia="Times New Roman" w:hAnsi="Arial" w:cs="Arial"/>
          <w:b/>
          <w:bCs/>
          <w:sz w:val="16"/>
          <w:szCs w:val="16"/>
          <w:lang w:val="en-US" w:eastAsia="pl-PL"/>
        </w:rPr>
        <w:t xml:space="preserve">  (032) 630 30 91</w:t>
      </w:r>
      <w:r w:rsidRPr="006E6858">
        <w:rPr>
          <w:rFonts w:ascii="Arial" w:eastAsia="Times New Roman" w:hAnsi="Arial" w:cs="Arial"/>
          <w:b/>
          <w:bCs/>
          <w:sz w:val="16"/>
          <w:szCs w:val="16"/>
          <w:lang w:val="en-US" w:eastAsia="pl-PL"/>
        </w:rPr>
        <w:tab/>
      </w:r>
      <w:r w:rsidRPr="006E6858">
        <w:rPr>
          <w:rFonts w:ascii="Arial" w:eastAsia="Times New Roman" w:hAnsi="Arial" w:cs="Arial"/>
          <w:b/>
          <w:bCs/>
          <w:sz w:val="16"/>
          <w:szCs w:val="16"/>
          <w:lang w:val="en-US" w:eastAsia="pl-PL"/>
        </w:rPr>
        <w:tab/>
      </w:r>
      <w:r w:rsidRPr="006E6858">
        <w:rPr>
          <w:rFonts w:ascii="Arial" w:eastAsia="Times New Roman" w:hAnsi="Arial" w:cs="Arial"/>
          <w:b/>
          <w:bCs/>
          <w:sz w:val="16"/>
          <w:szCs w:val="16"/>
          <w:lang w:val="en-US" w:eastAsia="pl-PL"/>
        </w:rPr>
        <w:tab/>
      </w:r>
      <w:r w:rsidRPr="006E6858">
        <w:rPr>
          <w:rFonts w:ascii="Arial" w:eastAsia="Times New Roman" w:hAnsi="Arial" w:cs="Arial"/>
          <w:sz w:val="16"/>
          <w:szCs w:val="16"/>
          <w:lang w:val="en-US" w:eastAsia="pl-PL"/>
        </w:rPr>
        <w:tab/>
      </w:r>
      <w:proofErr w:type="spellStart"/>
      <w:r w:rsidRPr="006E6858">
        <w:rPr>
          <w:rFonts w:ascii="Arial" w:eastAsia="Times New Roman" w:hAnsi="Arial" w:cs="Arial"/>
          <w:sz w:val="16"/>
          <w:szCs w:val="16"/>
          <w:lang w:val="en-US" w:eastAsia="pl-PL"/>
        </w:rPr>
        <w:t>faks</w:t>
      </w:r>
      <w:proofErr w:type="spellEnd"/>
      <w:r w:rsidRPr="006E6858">
        <w:rPr>
          <w:rFonts w:ascii="Arial" w:eastAsia="Times New Roman" w:hAnsi="Arial" w:cs="Arial"/>
          <w:sz w:val="16"/>
          <w:szCs w:val="16"/>
          <w:lang w:val="en-US" w:eastAsia="pl-PL"/>
        </w:rPr>
        <w:t xml:space="preserve"> </w:t>
      </w:r>
      <w:r w:rsidRPr="006E6858">
        <w:rPr>
          <w:rFonts w:ascii="Arial" w:eastAsia="Times New Roman" w:hAnsi="Arial" w:cs="Arial"/>
          <w:b/>
          <w:bCs/>
          <w:sz w:val="16"/>
          <w:szCs w:val="16"/>
          <w:lang w:val="en-US" w:eastAsia="pl-PL"/>
        </w:rPr>
        <w:t xml:space="preserve"> (032) 277 11 25</w:t>
      </w:r>
    </w:p>
    <w:p w:rsidR="006E6858" w:rsidRPr="006E6858" w:rsidRDefault="006E6858" w:rsidP="006E6858">
      <w:pPr>
        <w:widowControl w:val="0"/>
        <w:spacing w:after="0" w:line="240" w:lineRule="auto"/>
        <w:jc w:val="both"/>
        <w:rPr>
          <w:rFonts w:ascii="Arial" w:eastAsia="Times New Roman" w:hAnsi="Arial" w:cs="Arial"/>
          <w:sz w:val="8"/>
          <w:szCs w:val="8"/>
          <w:lang w:val="en-US"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6858" w:rsidRPr="006E6858" w:rsidTr="006E6858">
        <w:tc>
          <w:tcPr>
            <w:tcW w:w="9322" w:type="dxa"/>
          </w:tcPr>
          <w:p w:rsidR="006E6858" w:rsidRPr="006E6858" w:rsidRDefault="006E6858" w:rsidP="006E6858">
            <w:pPr>
              <w:spacing w:after="0" w:line="240" w:lineRule="auto"/>
              <w:ind w:left="284" w:hanging="284"/>
              <w:jc w:val="both"/>
              <w:rPr>
                <w:rFonts w:ascii="Arial" w:eastAsia="Times New Roman" w:hAnsi="Arial" w:cs="Arial"/>
                <w:sz w:val="16"/>
                <w:szCs w:val="16"/>
                <w:lang w:eastAsia="pl-PL"/>
              </w:rPr>
            </w:pPr>
            <w:r w:rsidRPr="006E6858">
              <w:rPr>
                <w:rFonts w:ascii="Arial" w:eastAsia="Times New Roman" w:hAnsi="Arial" w:cs="Arial"/>
                <w:b/>
                <w:sz w:val="16"/>
                <w:szCs w:val="16"/>
                <w:lang w:eastAsia="pl-PL"/>
              </w:rPr>
              <w:t>2) Tryb i nazwa postępowania:</w:t>
            </w:r>
            <w:r w:rsidRPr="006E6858">
              <w:rPr>
                <w:rFonts w:ascii="Arial" w:eastAsia="Times New Roman" w:hAnsi="Arial" w:cs="Arial"/>
                <w:sz w:val="16"/>
                <w:szCs w:val="16"/>
                <w:lang w:eastAsia="pl-PL"/>
              </w:rPr>
              <w:t xml:space="preserve"> </w:t>
            </w:r>
          </w:p>
          <w:p w:rsidR="006E6858" w:rsidRPr="006E6858" w:rsidRDefault="006E6858" w:rsidP="006E6858">
            <w:pPr>
              <w:spacing w:after="0" w:line="240" w:lineRule="auto"/>
              <w:jc w:val="both"/>
              <w:rPr>
                <w:rFonts w:ascii="Arial" w:eastAsia="Times New Roman" w:hAnsi="Arial" w:cs="Arial"/>
                <w:bCs/>
                <w:sz w:val="16"/>
                <w:szCs w:val="16"/>
                <w:lang w:eastAsia="pl-PL"/>
              </w:rPr>
            </w:pPr>
            <w:r w:rsidRPr="006E6858">
              <w:rPr>
                <w:rFonts w:ascii="Arial" w:eastAsia="Times New Roman" w:hAnsi="Arial" w:cs="Arial"/>
                <w:sz w:val="16"/>
                <w:szCs w:val="16"/>
                <w:lang w:eastAsia="pl-PL"/>
              </w:rPr>
              <w:t>Postępowanie prowadzone w trybie przetargu nieograniczonego o wartości poniżej/</w:t>
            </w:r>
            <w:r w:rsidRPr="006E6858">
              <w:rPr>
                <w:rFonts w:ascii="Arial" w:eastAsia="Times New Roman" w:hAnsi="Arial" w:cs="Arial"/>
                <w:strike/>
                <w:sz w:val="16"/>
                <w:szCs w:val="16"/>
                <w:lang w:eastAsia="pl-PL"/>
              </w:rPr>
              <w:t>powyżej</w:t>
            </w:r>
            <w:r w:rsidRPr="006E6858">
              <w:rPr>
                <w:rFonts w:ascii="Arial" w:eastAsia="Times New Roman" w:hAnsi="Arial" w:cs="Arial"/>
                <w:sz w:val="16"/>
                <w:szCs w:val="16"/>
                <w:lang w:eastAsia="pl-PL"/>
              </w:rPr>
              <w:t xml:space="preserve">* kwoty </w:t>
            </w:r>
            <w:r w:rsidRPr="006E6858">
              <w:rPr>
                <w:rFonts w:ascii="Arial" w:hAnsi="Arial" w:cs="Arial"/>
                <w:sz w:val="16"/>
                <w:szCs w:val="16"/>
              </w:rPr>
              <w:t xml:space="preserve">określonej w przepisach wydanych na podstawie art. 11 ust. 8 Pzp </w:t>
            </w:r>
            <w:proofErr w:type="spellStart"/>
            <w:r w:rsidRPr="006E6858">
              <w:rPr>
                <w:rFonts w:ascii="Arial" w:hAnsi="Arial" w:cs="Arial"/>
                <w:sz w:val="16"/>
                <w:szCs w:val="16"/>
              </w:rPr>
              <w:t>pn</w:t>
            </w:r>
            <w:proofErr w:type="spellEnd"/>
            <w:r w:rsidRPr="006E6858">
              <w:rPr>
                <w:rFonts w:ascii="Arial" w:hAnsi="Arial" w:cs="Arial"/>
                <w:sz w:val="16"/>
                <w:szCs w:val="16"/>
              </w:rPr>
              <w:t>:</w:t>
            </w:r>
            <w:r w:rsidRPr="006E6858">
              <w:rPr>
                <w:rFonts w:ascii="Arial" w:hAnsi="Arial" w:cs="Arial"/>
                <w:bCs/>
                <w:sz w:val="16"/>
                <w:szCs w:val="16"/>
              </w:rPr>
              <w:t xml:space="preserve"> </w:t>
            </w:r>
            <w:r w:rsidRPr="006E6858">
              <w:rPr>
                <w:rFonts w:ascii="Arial" w:eastAsia="Times New Roman" w:hAnsi="Arial" w:cs="Arial"/>
                <w:b/>
                <w:sz w:val="16"/>
                <w:szCs w:val="16"/>
                <w:lang w:eastAsia="pl-PL"/>
              </w:rPr>
              <w:t>„Świadczenie usług drukowania materiałów promocyjnych dla potrzeb Muzeum Górnictwa Węglowego w Zabrzu”</w:t>
            </w:r>
          </w:p>
          <w:p w:rsidR="006E6858" w:rsidRPr="006E6858" w:rsidRDefault="006E6858" w:rsidP="006E6858">
            <w:pPr>
              <w:spacing w:after="0" w:line="240" w:lineRule="auto"/>
              <w:jc w:val="both"/>
              <w:rPr>
                <w:rFonts w:ascii="Arial" w:hAnsi="Arial" w:cs="Arial"/>
                <w:bCs/>
                <w:sz w:val="16"/>
                <w:szCs w:val="16"/>
              </w:rPr>
            </w:pPr>
          </w:p>
          <w:p w:rsidR="006E6858" w:rsidRPr="006E6858" w:rsidRDefault="006E6858" w:rsidP="006E6858">
            <w:pPr>
              <w:widowControl w:val="0"/>
              <w:spacing w:after="0" w:line="240" w:lineRule="auto"/>
              <w:jc w:val="both"/>
              <w:rPr>
                <w:rFonts w:ascii="Arial" w:eastAsia="Times New Roman" w:hAnsi="Arial" w:cs="Arial"/>
                <w:i/>
                <w:sz w:val="16"/>
                <w:szCs w:val="16"/>
                <w:lang w:eastAsia="pl-PL"/>
              </w:rPr>
            </w:pPr>
            <w:r w:rsidRPr="006E6858">
              <w:rPr>
                <w:rFonts w:ascii="Arial" w:eastAsia="Times New Roman" w:hAnsi="Arial" w:cs="Arial"/>
                <w:i/>
                <w:sz w:val="16"/>
                <w:szCs w:val="16"/>
                <w:lang w:eastAsia="pl-PL"/>
              </w:rPr>
              <w:t>*niepotrzebna skreślić</w:t>
            </w:r>
          </w:p>
        </w:tc>
      </w:tr>
    </w:tbl>
    <w:p w:rsidR="006E6858" w:rsidRPr="006E6858" w:rsidRDefault="006E6858" w:rsidP="006E6858">
      <w:pPr>
        <w:widowControl w:val="0"/>
        <w:spacing w:after="0" w:line="240" w:lineRule="auto"/>
        <w:jc w:val="both"/>
        <w:rPr>
          <w:rFonts w:ascii="Arial" w:eastAsia="Times New Roman" w:hAnsi="Arial" w:cs="Arial"/>
          <w:sz w:val="8"/>
          <w:szCs w:val="8"/>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6858" w:rsidRPr="006E6858" w:rsidTr="006E6858">
        <w:tc>
          <w:tcPr>
            <w:tcW w:w="9322" w:type="dxa"/>
          </w:tcPr>
          <w:p w:rsidR="006E6858" w:rsidRPr="006E6858" w:rsidRDefault="006E6858" w:rsidP="006E6858">
            <w:pPr>
              <w:widowControl w:val="0"/>
              <w:spacing w:after="0" w:line="240" w:lineRule="auto"/>
              <w:jc w:val="both"/>
              <w:rPr>
                <w:rFonts w:ascii="Arial" w:eastAsia="Times New Roman" w:hAnsi="Arial" w:cs="Arial"/>
                <w:b/>
                <w:sz w:val="16"/>
                <w:szCs w:val="16"/>
                <w:lang w:eastAsia="pl-PL"/>
              </w:rPr>
            </w:pPr>
            <w:r w:rsidRPr="006E6858">
              <w:rPr>
                <w:rFonts w:ascii="Arial" w:eastAsia="Times New Roman" w:hAnsi="Arial" w:cs="Arial"/>
                <w:b/>
                <w:sz w:val="16"/>
                <w:szCs w:val="16"/>
                <w:lang w:eastAsia="pl-PL"/>
              </w:rPr>
              <w:t>3) Nazwa (firma), siedziba i adres wykonawcy, którego ofertę wybrano:</w:t>
            </w:r>
          </w:p>
          <w:p w:rsidR="006E6858" w:rsidRPr="006E6858" w:rsidRDefault="006E6858" w:rsidP="006E6858">
            <w:pPr>
              <w:tabs>
                <w:tab w:val="left" w:pos="2610"/>
              </w:tabs>
              <w:spacing w:after="0" w:line="240" w:lineRule="auto"/>
              <w:rPr>
                <w:rFonts w:ascii="Arial" w:eastAsia="Times New Roman" w:hAnsi="Arial" w:cs="Arial"/>
                <w:b/>
                <w:iCs/>
                <w:sz w:val="16"/>
                <w:szCs w:val="16"/>
                <w:lang w:eastAsia="pl-PL"/>
              </w:rPr>
            </w:pPr>
            <w:r w:rsidRPr="006E6858">
              <w:rPr>
                <w:rFonts w:ascii="Arial" w:eastAsia="Times New Roman" w:hAnsi="Arial" w:cs="Arial"/>
                <w:iCs/>
                <w:sz w:val="16"/>
                <w:szCs w:val="16"/>
                <w:lang w:eastAsia="pl-PL"/>
              </w:rPr>
              <w:t>Nie dokonano wyboru najkorzystniejszej oferty. Postępowanie zostało unieważnione.</w:t>
            </w:r>
          </w:p>
          <w:p w:rsidR="006E6858" w:rsidRPr="006E6858" w:rsidRDefault="006E6858" w:rsidP="006E6858">
            <w:pPr>
              <w:tabs>
                <w:tab w:val="left" w:pos="2610"/>
              </w:tabs>
              <w:spacing w:after="0" w:line="240" w:lineRule="auto"/>
              <w:rPr>
                <w:rFonts w:ascii="Arial" w:eastAsia="Times New Roman" w:hAnsi="Arial" w:cs="Arial"/>
                <w:b/>
                <w:iCs/>
                <w:sz w:val="16"/>
                <w:szCs w:val="16"/>
                <w:lang w:eastAsia="pl-PL"/>
              </w:rPr>
            </w:pPr>
          </w:p>
        </w:tc>
      </w:tr>
    </w:tbl>
    <w:p w:rsidR="006E6858" w:rsidRPr="006E6858" w:rsidRDefault="006E6858" w:rsidP="006E6858">
      <w:pPr>
        <w:widowControl w:val="0"/>
        <w:spacing w:after="0" w:line="240" w:lineRule="auto"/>
        <w:jc w:val="both"/>
        <w:rPr>
          <w:rFonts w:ascii="Arial" w:eastAsia="Times New Roman" w:hAnsi="Arial" w:cs="Arial"/>
          <w:sz w:val="8"/>
          <w:szCs w:val="8"/>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6858" w:rsidRPr="006E6858" w:rsidTr="006E6858">
        <w:trPr>
          <w:trHeight w:val="852"/>
        </w:trPr>
        <w:tc>
          <w:tcPr>
            <w:tcW w:w="9322" w:type="dxa"/>
          </w:tcPr>
          <w:p w:rsidR="006E6858" w:rsidRPr="006E6858" w:rsidRDefault="006E6858" w:rsidP="006E6858">
            <w:pPr>
              <w:widowControl w:val="0"/>
              <w:spacing w:after="0" w:line="240" w:lineRule="auto"/>
              <w:jc w:val="both"/>
              <w:rPr>
                <w:rFonts w:ascii="Arial" w:eastAsia="Times New Roman" w:hAnsi="Arial" w:cs="Arial"/>
                <w:b/>
                <w:sz w:val="16"/>
                <w:szCs w:val="16"/>
                <w:lang w:eastAsia="pl-PL"/>
              </w:rPr>
            </w:pPr>
            <w:r w:rsidRPr="006E6858">
              <w:rPr>
                <w:rFonts w:ascii="Arial" w:eastAsia="Times New Roman" w:hAnsi="Arial" w:cs="Arial"/>
                <w:b/>
                <w:sz w:val="16"/>
                <w:szCs w:val="16"/>
                <w:lang w:eastAsia="pl-PL"/>
              </w:rPr>
              <w:t>4) Uzasadnienie unieważnienia postępowania:</w:t>
            </w:r>
          </w:p>
          <w:p w:rsidR="006E6858" w:rsidRPr="006E6858" w:rsidRDefault="006E6858" w:rsidP="006E6858">
            <w:pPr>
              <w:spacing w:after="0" w:line="240" w:lineRule="auto"/>
              <w:jc w:val="both"/>
              <w:rPr>
                <w:rFonts w:ascii="Arial" w:hAnsi="Arial" w:cs="Arial"/>
                <w:color w:val="333333"/>
                <w:sz w:val="16"/>
                <w:szCs w:val="16"/>
              </w:rPr>
            </w:pPr>
            <w:r w:rsidRPr="006E6858">
              <w:rPr>
                <w:rFonts w:ascii="Arial" w:hAnsi="Arial" w:cs="Arial"/>
                <w:color w:val="333333"/>
                <w:sz w:val="16"/>
                <w:szCs w:val="16"/>
              </w:rPr>
              <w:t>W myśl art. 93 ust. 1 pkt 7 Pzp Zamawiający unieważnia postępowanie o udzielenie zamówienia, jeżeli „</w:t>
            </w:r>
            <w:r w:rsidRPr="006E6858">
              <w:rPr>
                <w:rFonts w:ascii="Arial" w:hAnsi="Arial" w:cs="Arial"/>
                <w:b/>
                <w:color w:val="333333"/>
                <w:sz w:val="16"/>
                <w:szCs w:val="16"/>
              </w:rPr>
              <w:t>obarczone jest niemożliwą do usunięcia wadą uniemożliwiającą zawarcie niepodlegającej unieważnieniu umowy w sprawie zamówienia publicznego”.</w:t>
            </w:r>
          </w:p>
          <w:p w:rsidR="006E6858" w:rsidRPr="006E6858" w:rsidRDefault="006E6858" w:rsidP="006E6858">
            <w:pPr>
              <w:spacing w:after="0" w:line="240" w:lineRule="auto"/>
              <w:ind w:firstLine="708"/>
              <w:jc w:val="both"/>
              <w:rPr>
                <w:rFonts w:ascii="Arial" w:hAnsi="Arial" w:cs="Arial"/>
                <w:color w:val="333333"/>
                <w:sz w:val="16"/>
                <w:szCs w:val="16"/>
              </w:rPr>
            </w:pPr>
            <w:r w:rsidRPr="006E6858">
              <w:rPr>
                <w:rFonts w:ascii="Arial" w:hAnsi="Arial" w:cs="Arial"/>
                <w:color w:val="333333"/>
                <w:sz w:val="16"/>
                <w:szCs w:val="16"/>
              </w:rPr>
              <w:t xml:space="preserve">W postępowaniu na </w:t>
            </w:r>
            <w:r w:rsidRPr="006E6858">
              <w:rPr>
                <w:rFonts w:ascii="Arial" w:eastAsia="Times New Roman" w:hAnsi="Arial" w:cs="Arial"/>
                <w:sz w:val="16"/>
                <w:szCs w:val="16"/>
                <w:lang w:eastAsia="pl-PL"/>
              </w:rPr>
              <w:t xml:space="preserve">świadczenie usług drukowania materiałów promocyjnych dla potrzeb Muzeum Górnictwa Węglowego w Zabrzu, </w:t>
            </w:r>
            <w:r w:rsidRPr="006E6858">
              <w:rPr>
                <w:rFonts w:ascii="Arial" w:hAnsi="Arial" w:cs="Arial"/>
                <w:color w:val="333333"/>
                <w:sz w:val="16"/>
                <w:szCs w:val="16"/>
              </w:rPr>
              <w:t>popełniony został błąd skutkujący wadą, której nie można usunąć na obecnym etapie postępowania.</w:t>
            </w:r>
          </w:p>
          <w:p w:rsidR="006E6858" w:rsidRPr="006E6858" w:rsidRDefault="006E6858" w:rsidP="006E6858">
            <w:pPr>
              <w:spacing w:after="0" w:line="240" w:lineRule="auto"/>
              <w:ind w:firstLine="708"/>
              <w:jc w:val="both"/>
              <w:rPr>
                <w:rFonts w:ascii="Arial" w:hAnsi="Arial" w:cs="Arial"/>
                <w:color w:val="333333"/>
                <w:sz w:val="16"/>
                <w:szCs w:val="16"/>
              </w:rPr>
            </w:pPr>
            <w:r w:rsidRPr="006E6858">
              <w:rPr>
                <w:rFonts w:ascii="Arial" w:hAnsi="Arial" w:cs="Arial"/>
                <w:color w:val="333333"/>
                <w:sz w:val="16"/>
                <w:szCs w:val="16"/>
              </w:rPr>
              <w:t xml:space="preserve">Zamawiający podczas otwarcia ofert, które odbyło się w dniu 28.03.2014 r. o godzinie 10:30, nie otworzył oferty Wykonawcy - Przedsiębiorstwo-Produkcyjno-Handlowe „DRUKPOL” Szulc R., </w:t>
            </w:r>
            <w:proofErr w:type="spellStart"/>
            <w:r w:rsidRPr="006E6858">
              <w:rPr>
                <w:rFonts w:ascii="Arial" w:hAnsi="Arial" w:cs="Arial"/>
                <w:color w:val="333333"/>
                <w:sz w:val="16"/>
                <w:szCs w:val="16"/>
              </w:rPr>
              <w:t>Renka</w:t>
            </w:r>
            <w:proofErr w:type="spellEnd"/>
            <w:r w:rsidRPr="006E6858">
              <w:rPr>
                <w:rFonts w:ascii="Arial" w:hAnsi="Arial" w:cs="Arial"/>
                <w:color w:val="333333"/>
                <w:sz w:val="16"/>
                <w:szCs w:val="16"/>
              </w:rPr>
              <w:t xml:space="preserve"> J. Spółka Jawna ul. Kochanowskiego 27, 42-600 Tarnowskie Góry. Oferta Wykonawcy została złożona w terminie, jednakże nie została otwarta i odczytana podczas otwarcia ofert. O swym uchybieniu Zamawiający dowiedział się dopiero po otwarciu ofert. Na obecnym etapie postępowania Zamawiający nie ma możliwości naprawienia swojego błędu, bowiem otwarcie ofert nie stanowi czynności prawnej, a czynność faktyczną. Ma ono charakter jednokrotny i ze swej natury nie może być ponawiane w danym postępowaniu. Podnieść także należy, że nie otwarcie przez Zamawiającego wszystkich złożonych ofert ma istotne konsekwencje prawne. Zaistniał bowiem obiektywny brak możliwości wyboru najkorzystniejszej oferty, tym samym naruszenie przepisów ustawy Pzp ma wpływ na wynik postępowania. Wybór oferty najkorzystniejszej nastąpić musi zgodnie z przepisami Pzp. W myśl art. 7 ust. 3 Pzp „</w:t>
            </w:r>
            <w:r w:rsidRPr="006E6858">
              <w:rPr>
                <w:rFonts w:ascii="Arial" w:hAnsi="Arial" w:cs="Arial"/>
                <w:b/>
                <w:color w:val="333333"/>
                <w:sz w:val="16"/>
                <w:szCs w:val="16"/>
              </w:rPr>
              <w:t>zamówienia udziela się wyłącznie wykonawcy</w:t>
            </w:r>
            <w:r w:rsidRPr="006E6858">
              <w:rPr>
                <w:rFonts w:ascii="Arial" w:hAnsi="Arial" w:cs="Arial"/>
                <w:color w:val="333333"/>
                <w:sz w:val="16"/>
                <w:szCs w:val="16"/>
              </w:rPr>
              <w:t xml:space="preserve"> </w:t>
            </w:r>
            <w:r w:rsidRPr="006E6858">
              <w:rPr>
                <w:rFonts w:ascii="Arial" w:hAnsi="Arial" w:cs="Arial"/>
                <w:b/>
                <w:color w:val="333333"/>
                <w:sz w:val="16"/>
                <w:szCs w:val="16"/>
              </w:rPr>
              <w:t>wybranemu zgodnie z przepisami ustawy</w:t>
            </w:r>
            <w:r w:rsidRPr="006E6858">
              <w:rPr>
                <w:rFonts w:ascii="Arial" w:hAnsi="Arial" w:cs="Arial"/>
                <w:color w:val="333333"/>
                <w:sz w:val="16"/>
                <w:szCs w:val="16"/>
              </w:rPr>
              <w:t>”. Tymczasem doszło do naruszenia art. 86 ust. 2 Pzp polegającego na nie otwarciu wszystkich ofert, co z kolei jest tożsame z naruszeniem zasad jawności postępowania, uczciwej konkurenci oraz równego traktowania wykonawców.</w:t>
            </w:r>
          </w:p>
          <w:p w:rsidR="006E6858" w:rsidRPr="006E6858" w:rsidRDefault="006E6858" w:rsidP="006E6858">
            <w:pPr>
              <w:spacing w:after="0" w:line="240" w:lineRule="auto"/>
              <w:ind w:firstLine="708"/>
              <w:jc w:val="both"/>
              <w:rPr>
                <w:rFonts w:ascii="Arial" w:hAnsi="Arial" w:cs="Arial"/>
                <w:color w:val="333333"/>
                <w:sz w:val="16"/>
                <w:szCs w:val="16"/>
              </w:rPr>
            </w:pPr>
            <w:r w:rsidRPr="006E6858">
              <w:rPr>
                <w:rFonts w:ascii="Arial" w:hAnsi="Arial" w:cs="Arial"/>
                <w:color w:val="333333"/>
                <w:sz w:val="16"/>
                <w:szCs w:val="16"/>
              </w:rPr>
              <w:t>Brak należytej staranności Zamawiającego przy dokonywaniu czynności otwarcia  ofert nie może być na obecnym etapie postępowania usunięty bez naruszenia powoływanych powyżej zasad udzielania zamówień publicznych. Konieczne jest więc unieważnienie postępowania. W przeciwnym wypadku bowiem - z powodu naruszenia powyżej powołanych zasad udzielania zamówień publicznych – Zamawiający naraziłby się na możliwość unieważnienia przez sąd umowy na skutek wystąpienia z takim wnioskiem przez Prezesa Urzędu na podstawie art. 146 ust. 6 Pzp.</w:t>
            </w:r>
          </w:p>
          <w:p w:rsidR="006E6858" w:rsidRPr="006E6858" w:rsidRDefault="006E6858" w:rsidP="006E6858">
            <w:pPr>
              <w:spacing w:after="0" w:line="240" w:lineRule="auto"/>
              <w:jc w:val="both"/>
              <w:rPr>
                <w:rFonts w:ascii="Arial" w:hAnsi="Arial" w:cs="Arial"/>
                <w:iCs/>
                <w:sz w:val="16"/>
                <w:szCs w:val="16"/>
              </w:rPr>
            </w:pPr>
            <w:r w:rsidRPr="006E6858">
              <w:rPr>
                <w:rFonts w:ascii="Arial" w:hAnsi="Arial" w:cs="Arial"/>
                <w:color w:val="333333"/>
                <w:sz w:val="16"/>
                <w:szCs w:val="16"/>
              </w:rPr>
              <w:t>W tej sytuacji konieczne jest unieważnienie postępowania.</w:t>
            </w:r>
          </w:p>
          <w:p w:rsidR="006E6858" w:rsidRPr="006E6858" w:rsidRDefault="006E6858" w:rsidP="006E6858">
            <w:pPr>
              <w:spacing w:after="0" w:line="240" w:lineRule="auto"/>
              <w:ind w:right="70"/>
              <w:jc w:val="both"/>
              <w:rPr>
                <w:rFonts w:ascii="Arial" w:hAnsi="Arial" w:cs="Arial"/>
                <w:iCs/>
                <w:sz w:val="16"/>
                <w:szCs w:val="16"/>
              </w:rPr>
            </w:pPr>
          </w:p>
        </w:tc>
      </w:tr>
    </w:tbl>
    <w:p w:rsidR="006E6858" w:rsidRPr="006E6858" w:rsidRDefault="006E6858" w:rsidP="006E6858">
      <w:pPr>
        <w:spacing w:after="0" w:line="240" w:lineRule="auto"/>
        <w:jc w:val="both"/>
        <w:rPr>
          <w:rFonts w:ascii="Arial" w:eastAsia="Times New Roman" w:hAnsi="Arial" w:cs="Arial"/>
          <w:sz w:val="8"/>
          <w:szCs w:val="8"/>
          <w:lang w:eastAsia="pl-PL"/>
        </w:rPr>
      </w:pPr>
      <w:r w:rsidRPr="006E6858">
        <w:rPr>
          <w:rFonts w:ascii="Arial" w:eastAsia="Times New Roman" w:hAnsi="Arial" w:cs="Arial"/>
          <w:sz w:val="8"/>
          <w:szCs w:val="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6858" w:rsidRPr="006E6858" w:rsidTr="006E6858">
        <w:trPr>
          <w:trHeight w:val="465"/>
        </w:trPr>
        <w:tc>
          <w:tcPr>
            <w:tcW w:w="9322" w:type="dxa"/>
            <w:shd w:val="clear" w:color="auto" w:fill="auto"/>
          </w:tcPr>
          <w:p w:rsidR="006E6858" w:rsidRPr="006E6858" w:rsidRDefault="006E6858" w:rsidP="006E6858">
            <w:pPr>
              <w:spacing w:after="0" w:line="240" w:lineRule="auto"/>
              <w:jc w:val="both"/>
              <w:rPr>
                <w:rFonts w:ascii="Arial" w:eastAsia="Times New Roman" w:hAnsi="Arial" w:cs="Arial"/>
                <w:b/>
                <w:sz w:val="16"/>
                <w:szCs w:val="16"/>
                <w:lang w:eastAsia="pl-PL"/>
              </w:rPr>
            </w:pPr>
            <w:r w:rsidRPr="006E6858">
              <w:rPr>
                <w:rFonts w:ascii="Arial" w:eastAsia="Times New Roman" w:hAnsi="Arial" w:cs="Arial"/>
                <w:b/>
                <w:sz w:val="16"/>
                <w:szCs w:val="16"/>
                <w:lang w:eastAsia="pl-PL"/>
              </w:rPr>
              <w:t>5) Nazwy (firmy i adresy Wykonawców, którzy złożyli oferty:</w:t>
            </w:r>
          </w:p>
          <w:p w:rsidR="006E6858" w:rsidRPr="006E6858" w:rsidRDefault="006E6858" w:rsidP="006E6858">
            <w:pPr>
              <w:spacing w:after="0" w:line="240" w:lineRule="auto"/>
              <w:jc w:val="both"/>
              <w:rPr>
                <w:rFonts w:ascii="Arial" w:hAnsi="Arial" w:cs="Arial"/>
                <w:sz w:val="16"/>
                <w:szCs w:val="16"/>
              </w:rPr>
            </w:pPr>
            <w:r w:rsidRPr="006E6858">
              <w:rPr>
                <w:rFonts w:ascii="Arial Black" w:hAnsi="Arial Black"/>
                <w:sz w:val="16"/>
                <w:szCs w:val="16"/>
              </w:rPr>
              <w:t xml:space="preserve">    </w:t>
            </w:r>
            <w:r w:rsidRPr="006E6858">
              <w:rPr>
                <w:rFonts w:ascii="Arial" w:hAnsi="Arial" w:cs="Arial"/>
                <w:sz w:val="16"/>
                <w:szCs w:val="16"/>
              </w:rPr>
              <w:t xml:space="preserve">Zamawiający informuje, że na stronie internetowej została zamieszczona informacja z otwarcia ofert. </w:t>
            </w:r>
          </w:p>
          <w:p w:rsidR="006E6858" w:rsidRPr="006E6858" w:rsidRDefault="006E6858" w:rsidP="006E6858">
            <w:pPr>
              <w:keepNext/>
              <w:widowControl w:val="0"/>
              <w:suppressAutoHyphens/>
              <w:spacing w:after="0" w:line="240" w:lineRule="auto"/>
              <w:contextualSpacing/>
              <w:jc w:val="both"/>
              <w:rPr>
                <w:rFonts w:ascii="Arial" w:eastAsia="Times New Roman" w:hAnsi="Arial" w:cs="Arial"/>
                <w:b/>
                <w:sz w:val="16"/>
                <w:szCs w:val="16"/>
                <w:u w:val="single"/>
                <w:lang w:eastAsia="pl-PL"/>
              </w:rPr>
            </w:pPr>
          </w:p>
        </w:tc>
      </w:tr>
    </w:tbl>
    <w:p w:rsidR="006E6858" w:rsidRPr="006E6858" w:rsidRDefault="006E6858" w:rsidP="006E6858">
      <w:pPr>
        <w:spacing w:after="0" w:line="240" w:lineRule="auto"/>
        <w:jc w:val="both"/>
        <w:rPr>
          <w:rFonts w:ascii="Arial" w:eastAsia="Times New Roman" w:hAnsi="Arial" w:cs="Arial"/>
          <w:sz w:val="8"/>
          <w:szCs w:val="8"/>
          <w:lang w:eastAsia="pl-PL"/>
        </w:rPr>
      </w:pPr>
      <w:r w:rsidRPr="006E6858">
        <w:rPr>
          <w:rFonts w:ascii="Arial" w:eastAsia="Times New Roman" w:hAnsi="Arial" w:cs="Arial"/>
          <w:sz w:val="8"/>
          <w:szCs w:val="8"/>
          <w:lang w:eastAsia="pl-PL"/>
        </w:rPr>
        <w:t xml:space="preserve">       </w:t>
      </w:r>
    </w:p>
    <w:p w:rsidR="006E6858" w:rsidRPr="006E6858" w:rsidRDefault="006E6858" w:rsidP="006E6858">
      <w:pPr>
        <w:spacing w:after="0" w:line="240" w:lineRule="auto"/>
        <w:jc w:val="both"/>
        <w:rPr>
          <w:rFonts w:ascii="Arial" w:eastAsia="Times New Roman" w:hAnsi="Arial" w:cs="Arial"/>
          <w:sz w:val="8"/>
          <w:szCs w:val="8"/>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132"/>
        <w:gridCol w:w="5809"/>
        <w:gridCol w:w="1987"/>
      </w:tblGrid>
      <w:tr w:rsidR="006E6858" w:rsidRPr="006E6858" w:rsidTr="006E6858">
        <w:tc>
          <w:tcPr>
            <w:tcW w:w="394" w:type="dxa"/>
            <w:shd w:val="clear" w:color="auto" w:fill="F2F2F2"/>
          </w:tcPr>
          <w:p w:rsidR="006E6858" w:rsidRPr="006E6858" w:rsidRDefault="006E6858" w:rsidP="006E6858">
            <w:pPr>
              <w:spacing w:after="0" w:line="240" w:lineRule="auto"/>
              <w:jc w:val="both"/>
              <w:rPr>
                <w:rFonts w:ascii="Arial" w:eastAsia="Times New Roman" w:hAnsi="Arial" w:cs="Arial"/>
                <w:b/>
                <w:sz w:val="18"/>
                <w:szCs w:val="18"/>
                <w:lang w:eastAsia="pl-PL"/>
              </w:rPr>
            </w:pPr>
            <w:r w:rsidRPr="006E6858">
              <w:rPr>
                <w:rFonts w:ascii="Arial" w:eastAsia="Times New Roman" w:hAnsi="Arial" w:cs="Arial"/>
                <w:b/>
                <w:sz w:val="18"/>
                <w:szCs w:val="18"/>
                <w:lang w:eastAsia="pl-PL"/>
              </w:rPr>
              <w:t>6)</w:t>
            </w:r>
          </w:p>
        </w:tc>
        <w:tc>
          <w:tcPr>
            <w:tcW w:w="8928" w:type="dxa"/>
            <w:gridSpan w:val="3"/>
            <w:shd w:val="clear" w:color="auto" w:fill="F2F2F2"/>
          </w:tcPr>
          <w:p w:rsidR="006E6858" w:rsidRPr="006E6858" w:rsidRDefault="006E6858" w:rsidP="006E6858">
            <w:pPr>
              <w:spacing w:after="0" w:line="240" w:lineRule="auto"/>
              <w:jc w:val="both"/>
              <w:rPr>
                <w:rFonts w:ascii="Arial" w:eastAsia="Times New Roman" w:hAnsi="Arial" w:cs="Arial"/>
                <w:b/>
                <w:sz w:val="18"/>
                <w:szCs w:val="18"/>
                <w:lang w:eastAsia="pl-PL"/>
              </w:rPr>
            </w:pPr>
            <w:r w:rsidRPr="006E6858">
              <w:rPr>
                <w:rFonts w:ascii="Arial" w:eastAsia="Times New Roman" w:hAnsi="Arial" w:cs="Arial"/>
                <w:b/>
                <w:sz w:val="18"/>
                <w:szCs w:val="18"/>
                <w:lang w:eastAsia="pl-PL"/>
              </w:rPr>
              <w:t>Streszczenie oceny i porównania złożonych ofert zawierające punktację przyznaną ofertom w każdym kryterium oceny ofert i łączną punktację</w:t>
            </w:r>
          </w:p>
        </w:tc>
      </w:tr>
      <w:tr w:rsidR="006E6858" w:rsidRPr="006E6858" w:rsidTr="006E6858">
        <w:trPr>
          <w:trHeight w:hRule="exact" w:val="445"/>
        </w:trPr>
        <w:tc>
          <w:tcPr>
            <w:tcW w:w="1526" w:type="dxa"/>
            <w:gridSpan w:val="2"/>
            <w:shd w:val="clear" w:color="auto" w:fill="auto"/>
            <w:vAlign w:val="center"/>
          </w:tcPr>
          <w:p w:rsidR="006E6858" w:rsidRPr="006E6858" w:rsidRDefault="006E6858" w:rsidP="006E6858">
            <w:pPr>
              <w:spacing w:after="0" w:line="240" w:lineRule="auto"/>
              <w:jc w:val="center"/>
              <w:rPr>
                <w:rFonts w:ascii="Arial" w:eastAsia="Times New Roman" w:hAnsi="Arial" w:cs="Arial"/>
                <w:sz w:val="16"/>
                <w:szCs w:val="16"/>
                <w:lang w:eastAsia="pl-PL"/>
              </w:rPr>
            </w:pPr>
            <w:r w:rsidRPr="006E6858">
              <w:rPr>
                <w:rFonts w:ascii="Arial" w:hAnsi="Arial" w:cs="Arial"/>
                <w:sz w:val="16"/>
                <w:szCs w:val="16"/>
              </w:rPr>
              <w:t>Nr oferty</w:t>
            </w:r>
          </w:p>
        </w:tc>
        <w:tc>
          <w:tcPr>
            <w:tcW w:w="5809" w:type="dxa"/>
            <w:shd w:val="clear" w:color="auto" w:fill="auto"/>
            <w:vAlign w:val="center"/>
          </w:tcPr>
          <w:p w:rsidR="006E6858" w:rsidRPr="006E6858" w:rsidRDefault="006E6858" w:rsidP="006E6858">
            <w:pPr>
              <w:spacing w:after="0" w:line="240" w:lineRule="auto"/>
              <w:jc w:val="center"/>
              <w:rPr>
                <w:rFonts w:ascii="Arial" w:eastAsia="Times New Roman" w:hAnsi="Arial" w:cs="Arial"/>
                <w:sz w:val="16"/>
                <w:szCs w:val="16"/>
                <w:lang w:eastAsia="pl-PL"/>
              </w:rPr>
            </w:pPr>
            <w:r w:rsidRPr="006E6858">
              <w:rPr>
                <w:rFonts w:ascii="Arial" w:hAnsi="Arial" w:cs="Arial"/>
                <w:b/>
                <w:sz w:val="16"/>
                <w:szCs w:val="16"/>
              </w:rPr>
              <w:t>Liczba pkt  w kryterium</w:t>
            </w:r>
            <w:r w:rsidRPr="006E6858">
              <w:rPr>
                <w:rFonts w:ascii="Arial" w:hAnsi="Arial" w:cs="Arial"/>
                <w:b/>
                <w:bCs/>
                <w:sz w:val="16"/>
                <w:szCs w:val="16"/>
              </w:rPr>
              <w:t xml:space="preserve">    CENA – 100  %</w:t>
            </w:r>
          </w:p>
        </w:tc>
        <w:tc>
          <w:tcPr>
            <w:tcW w:w="1987" w:type="dxa"/>
            <w:shd w:val="clear" w:color="auto" w:fill="auto"/>
            <w:vAlign w:val="center"/>
          </w:tcPr>
          <w:p w:rsidR="006E6858" w:rsidRPr="006E6858" w:rsidRDefault="006E6858" w:rsidP="006E6858">
            <w:pPr>
              <w:spacing w:after="0" w:line="240" w:lineRule="auto"/>
              <w:jc w:val="center"/>
              <w:rPr>
                <w:rFonts w:ascii="Arial" w:eastAsia="Times New Roman" w:hAnsi="Arial" w:cs="Arial"/>
                <w:sz w:val="16"/>
                <w:szCs w:val="16"/>
                <w:lang w:eastAsia="pl-PL"/>
              </w:rPr>
            </w:pPr>
            <w:r w:rsidRPr="006E6858">
              <w:rPr>
                <w:rFonts w:ascii="Arial" w:hAnsi="Arial" w:cs="Arial"/>
                <w:b/>
                <w:bCs/>
                <w:sz w:val="16"/>
                <w:szCs w:val="16"/>
              </w:rPr>
              <w:t>Razem</w:t>
            </w:r>
          </w:p>
        </w:tc>
      </w:tr>
      <w:tr w:rsidR="006E6858" w:rsidRPr="006E6858" w:rsidTr="006E6858">
        <w:trPr>
          <w:trHeight w:hRule="exact" w:val="397"/>
        </w:trPr>
        <w:tc>
          <w:tcPr>
            <w:tcW w:w="1526" w:type="dxa"/>
            <w:gridSpan w:val="2"/>
            <w:shd w:val="clear" w:color="auto" w:fill="auto"/>
            <w:vAlign w:val="center"/>
          </w:tcPr>
          <w:p w:rsidR="006E6858" w:rsidRPr="006E6858" w:rsidRDefault="006E6858" w:rsidP="006E6858">
            <w:pPr>
              <w:spacing w:after="0" w:line="240" w:lineRule="auto"/>
              <w:jc w:val="center"/>
              <w:rPr>
                <w:rFonts w:ascii="Arial" w:hAnsi="Arial" w:cs="Arial"/>
                <w:b/>
                <w:bCs/>
                <w:sz w:val="20"/>
                <w:szCs w:val="20"/>
              </w:rPr>
            </w:pPr>
            <w:r w:rsidRPr="006E6858">
              <w:rPr>
                <w:rFonts w:ascii="Arial" w:hAnsi="Arial" w:cs="Arial"/>
                <w:b/>
                <w:bCs/>
                <w:sz w:val="20"/>
                <w:szCs w:val="20"/>
              </w:rPr>
              <w:t>---</w:t>
            </w:r>
          </w:p>
        </w:tc>
        <w:tc>
          <w:tcPr>
            <w:tcW w:w="5809" w:type="dxa"/>
            <w:shd w:val="clear" w:color="auto" w:fill="auto"/>
            <w:vAlign w:val="center"/>
          </w:tcPr>
          <w:p w:rsidR="006E6858" w:rsidRPr="006E6858" w:rsidRDefault="006E6858" w:rsidP="006E6858">
            <w:pPr>
              <w:spacing w:after="0" w:line="240" w:lineRule="auto"/>
              <w:jc w:val="center"/>
              <w:rPr>
                <w:rFonts w:ascii="Arial" w:hAnsi="Arial" w:cs="Arial"/>
                <w:b/>
                <w:bCs/>
                <w:sz w:val="20"/>
                <w:szCs w:val="20"/>
              </w:rPr>
            </w:pPr>
            <w:r w:rsidRPr="006E6858">
              <w:rPr>
                <w:rFonts w:ascii="Arial" w:hAnsi="Arial" w:cs="Arial"/>
                <w:b/>
                <w:bCs/>
                <w:sz w:val="20"/>
                <w:szCs w:val="20"/>
              </w:rPr>
              <w:t>--------</w:t>
            </w:r>
          </w:p>
        </w:tc>
        <w:tc>
          <w:tcPr>
            <w:tcW w:w="1987" w:type="dxa"/>
            <w:shd w:val="clear" w:color="auto" w:fill="auto"/>
            <w:vAlign w:val="center"/>
          </w:tcPr>
          <w:p w:rsidR="006E6858" w:rsidRPr="006E6858" w:rsidRDefault="006E6858" w:rsidP="006E6858">
            <w:pPr>
              <w:spacing w:after="0" w:line="240" w:lineRule="auto"/>
              <w:jc w:val="center"/>
              <w:rPr>
                <w:rFonts w:ascii="Arial" w:hAnsi="Arial" w:cs="Arial"/>
                <w:b/>
                <w:bCs/>
                <w:sz w:val="20"/>
                <w:szCs w:val="20"/>
              </w:rPr>
            </w:pPr>
            <w:r w:rsidRPr="006E6858">
              <w:rPr>
                <w:rFonts w:ascii="Arial" w:hAnsi="Arial" w:cs="Arial"/>
                <w:b/>
                <w:bCs/>
                <w:sz w:val="20"/>
                <w:szCs w:val="20"/>
              </w:rPr>
              <w:t>------</w:t>
            </w:r>
          </w:p>
        </w:tc>
      </w:tr>
    </w:tbl>
    <w:p w:rsidR="006E6858" w:rsidRPr="006E6858" w:rsidRDefault="006E6858" w:rsidP="006E6858">
      <w:pPr>
        <w:spacing w:after="0" w:line="240" w:lineRule="auto"/>
        <w:jc w:val="both"/>
        <w:rPr>
          <w:rFonts w:ascii="Arial" w:eastAsia="Times New Roman" w:hAnsi="Arial" w:cs="Arial"/>
          <w:sz w:val="20"/>
          <w:szCs w:val="20"/>
          <w:lang w:eastAsia="pl-PL"/>
        </w:rPr>
      </w:pPr>
    </w:p>
    <w:p w:rsidR="006E6858" w:rsidRPr="006E6858" w:rsidRDefault="006E6858" w:rsidP="006E6858">
      <w:pPr>
        <w:spacing w:after="0" w:line="240" w:lineRule="auto"/>
        <w:jc w:val="both"/>
        <w:rPr>
          <w:rFonts w:ascii="Arial" w:eastAsia="Times New Roman" w:hAnsi="Arial" w:cs="Arial"/>
          <w:b/>
          <w:sz w:val="18"/>
          <w:szCs w:val="18"/>
          <w:lang w:eastAsia="pl-PL"/>
        </w:rPr>
      </w:pPr>
      <w:r w:rsidRPr="006E6858">
        <w:rPr>
          <w:rFonts w:ascii="Arial" w:eastAsia="Times New Roman" w:hAnsi="Arial" w:cs="Arial"/>
          <w:b/>
          <w:sz w:val="18"/>
          <w:szCs w:val="18"/>
          <w:lang w:eastAsia="pl-PL"/>
        </w:rPr>
        <w:t>Data wysłania informacji o unieważnieniu postępowania – 0</w:t>
      </w:r>
      <w:r w:rsidR="00D80EEC">
        <w:rPr>
          <w:rFonts w:ascii="Arial" w:eastAsia="Times New Roman" w:hAnsi="Arial" w:cs="Arial"/>
          <w:b/>
          <w:sz w:val="18"/>
          <w:szCs w:val="18"/>
          <w:lang w:eastAsia="pl-PL"/>
        </w:rPr>
        <w:t>3</w:t>
      </w:r>
      <w:bookmarkStart w:id="0" w:name="_GoBack"/>
      <w:bookmarkEnd w:id="0"/>
      <w:r w:rsidRPr="006E6858">
        <w:rPr>
          <w:rFonts w:ascii="Arial" w:eastAsia="Times New Roman" w:hAnsi="Arial" w:cs="Arial"/>
          <w:b/>
          <w:sz w:val="18"/>
          <w:szCs w:val="18"/>
          <w:lang w:eastAsia="pl-PL"/>
        </w:rPr>
        <w:t>.04.2014 r.</w:t>
      </w:r>
    </w:p>
    <w:p w:rsidR="006E6858" w:rsidRPr="006E6858" w:rsidRDefault="006E6858" w:rsidP="006E6858">
      <w:pPr>
        <w:spacing w:after="0" w:line="240" w:lineRule="auto"/>
        <w:ind w:left="3540" w:firstLine="708"/>
        <w:jc w:val="both"/>
        <w:rPr>
          <w:rFonts w:ascii="Arial" w:eastAsia="Times New Roman" w:hAnsi="Arial" w:cs="Arial"/>
          <w:sz w:val="20"/>
          <w:szCs w:val="20"/>
          <w:lang w:eastAsia="pl-PL"/>
        </w:rPr>
      </w:pPr>
      <w:r w:rsidRPr="006E6858">
        <w:rPr>
          <w:rFonts w:ascii="Arial" w:eastAsia="Times New Roman" w:hAnsi="Arial" w:cs="Arial"/>
          <w:sz w:val="20"/>
          <w:szCs w:val="20"/>
          <w:lang w:eastAsia="pl-PL"/>
        </w:rPr>
        <w:t xml:space="preserve">                  </w:t>
      </w:r>
    </w:p>
    <w:p w:rsidR="006E6858" w:rsidRPr="006E6858" w:rsidRDefault="006E6858" w:rsidP="006E6858">
      <w:pPr>
        <w:spacing w:after="0" w:line="240" w:lineRule="auto"/>
        <w:ind w:left="5664" w:firstLine="708"/>
        <w:jc w:val="both"/>
        <w:rPr>
          <w:rFonts w:ascii="Arial" w:hAnsi="Arial" w:cs="Arial"/>
          <w:b/>
          <w:color w:val="FF0000"/>
          <w:sz w:val="18"/>
          <w:szCs w:val="18"/>
        </w:rPr>
      </w:pPr>
      <w:r w:rsidRPr="006E6858">
        <w:rPr>
          <w:rFonts w:ascii="Arial" w:hAnsi="Arial" w:cs="Arial"/>
          <w:b/>
          <w:color w:val="FF0000"/>
          <w:sz w:val="18"/>
          <w:szCs w:val="18"/>
        </w:rPr>
        <w:t>Podpisał</w:t>
      </w:r>
    </w:p>
    <w:p w:rsidR="006E6858" w:rsidRPr="006E6858" w:rsidRDefault="006E6858" w:rsidP="006E6858">
      <w:pPr>
        <w:spacing w:after="0" w:line="240" w:lineRule="auto"/>
        <w:ind w:left="4956" w:firstLine="708"/>
        <w:jc w:val="both"/>
        <w:rPr>
          <w:rFonts w:ascii="Arial" w:hAnsi="Arial" w:cs="Arial"/>
          <w:b/>
          <w:color w:val="FF0000"/>
          <w:sz w:val="18"/>
          <w:szCs w:val="18"/>
        </w:rPr>
      </w:pPr>
    </w:p>
    <w:p w:rsidR="006E6858" w:rsidRPr="006E6858" w:rsidRDefault="006E6858" w:rsidP="006E6858">
      <w:pPr>
        <w:spacing w:after="0" w:line="240" w:lineRule="auto"/>
        <w:ind w:left="4956" w:firstLine="708"/>
        <w:jc w:val="both"/>
        <w:rPr>
          <w:rFonts w:ascii="Arial" w:hAnsi="Arial" w:cs="Arial"/>
          <w:b/>
          <w:color w:val="FF0000"/>
          <w:sz w:val="18"/>
          <w:szCs w:val="18"/>
        </w:rPr>
      </w:pPr>
      <w:r w:rsidRPr="006E6858">
        <w:rPr>
          <w:rFonts w:ascii="Arial" w:hAnsi="Arial" w:cs="Arial"/>
          <w:b/>
          <w:color w:val="FF0000"/>
          <w:sz w:val="18"/>
          <w:szCs w:val="18"/>
        </w:rPr>
        <w:t>Muzeum Górnictwa Węglowego</w:t>
      </w:r>
    </w:p>
    <w:p w:rsidR="006E6858" w:rsidRPr="006E6858" w:rsidRDefault="006E6858" w:rsidP="006E6858">
      <w:pPr>
        <w:spacing w:after="0" w:line="240" w:lineRule="auto"/>
        <w:ind w:left="6372"/>
        <w:jc w:val="both"/>
        <w:rPr>
          <w:rFonts w:ascii="Arial" w:hAnsi="Arial" w:cs="Arial"/>
          <w:b/>
          <w:color w:val="FF0000"/>
          <w:sz w:val="18"/>
          <w:szCs w:val="18"/>
        </w:rPr>
      </w:pPr>
      <w:r w:rsidRPr="006E6858">
        <w:rPr>
          <w:rFonts w:ascii="Arial" w:hAnsi="Arial" w:cs="Arial"/>
          <w:b/>
          <w:color w:val="FF0000"/>
          <w:sz w:val="18"/>
          <w:szCs w:val="18"/>
        </w:rPr>
        <w:t xml:space="preserve"> w Zabrzu</w:t>
      </w:r>
    </w:p>
    <w:p w:rsidR="006E6858" w:rsidRPr="006E6858" w:rsidRDefault="006E6858" w:rsidP="006E6858">
      <w:pPr>
        <w:spacing w:after="0" w:line="240" w:lineRule="auto"/>
        <w:ind w:hanging="357"/>
        <w:jc w:val="both"/>
        <w:rPr>
          <w:rFonts w:ascii="Arial" w:hAnsi="Arial" w:cs="Arial"/>
          <w:b/>
          <w:color w:val="FF0000"/>
          <w:sz w:val="18"/>
          <w:szCs w:val="18"/>
        </w:rPr>
      </w:pPr>
    </w:p>
    <w:p w:rsidR="006E6858" w:rsidRPr="006E6858" w:rsidRDefault="006E6858" w:rsidP="006E6858">
      <w:pPr>
        <w:spacing w:after="0" w:line="240" w:lineRule="auto"/>
        <w:ind w:left="4956" w:firstLine="708"/>
        <w:jc w:val="both"/>
        <w:rPr>
          <w:rFonts w:ascii="Arial" w:hAnsi="Arial" w:cs="Arial"/>
          <w:b/>
          <w:color w:val="FF0000"/>
          <w:sz w:val="18"/>
          <w:szCs w:val="18"/>
        </w:rPr>
      </w:pPr>
      <w:r w:rsidRPr="006E6858">
        <w:rPr>
          <w:rFonts w:ascii="Arial" w:hAnsi="Arial" w:cs="Arial"/>
          <w:b/>
          <w:color w:val="FF0000"/>
          <w:sz w:val="18"/>
          <w:szCs w:val="18"/>
        </w:rPr>
        <w:t xml:space="preserve">              Dyrektor</w:t>
      </w:r>
    </w:p>
    <w:p w:rsidR="006E6858" w:rsidRPr="006E6858" w:rsidRDefault="006E6858" w:rsidP="006E6858">
      <w:pPr>
        <w:spacing w:after="0" w:line="240" w:lineRule="auto"/>
        <w:ind w:hanging="357"/>
        <w:jc w:val="both"/>
        <w:rPr>
          <w:rFonts w:ascii="Arial" w:hAnsi="Arial" w:cs="Arial"/>
          <w:b/>
          <w:color w:val="FF0000"/>
          <w:sz w:val="18"/>
          <w:szCs w:val="18"/>
        </w:rPr>
      </w:pPr>
    </w:p>
    <w:p w:rsidR="00DD6262" w:rsidRPr="00727AA6" w:rsidRDefault="006E6858" w:rsidP="003A164C">
      <w:pPr>
        <w:spacing w:after="0" w:line="240" w:lineRule="auto"/>
        <w:ind w:left="4956" w:firstLine="708"/>
        <w:jc w:val="both"/>
        <w:rPr>
          <w:rFonts w:ascii="Arial" w:hAnsi="Arial" w:cs="Arial"/>
          <w:sz w:val="20"/>
          <w:szCs w:val="20"/>
          <w:lang w:val="en-US"/>
        </w:rPr>
      </w:pPr>
      <w:r w:rsidRPr="006E6858">
        <w:rPr>
          <w:rFonts w:ascii="Arial" w:hAnsi="Arial" w:cs="Arial"/>
          <w:b/>
          <w:color w:val="FF0000"/>
          <w:sz w:val="18"/>
          <w:szCs w:val="18"/>
        </w:rPr>
        <w:t xml:space="preserve">       Bartłomiej Szewczyk</w:t>
      </w:r>
    </w:p>
    <w:sectPr w:rsidR="00DD6262" w:rsidRPr="00727AA6" w:rsidSect="00046389">
      <w:headerReference w:type="even" r:id="rId9"/>
      <w:headerReference w:type="default" r:id="rId10"/>
      <w:footerReference w:type="default" r:id="rId11"/>
      <w:headerReference w:type="first" r:id="rId12"/>
      <w:footerReference w:type="first" r:id="rId13"/>
      <w:pgSz w:w="11906" w:h="16838"/>
      <w:pgMar w:top="2126" w:right="1418" w:bottom="1418" w:left="1418"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2B" w:rsidRDefault="0066162B" w:rsidP="0076796D">
      <w:pPr>
        <w:spacing w:after="0" w:line="240" w:lineRule="auto"/>
      </w:pPr>
      <w:r>
        <w:separator/>
      </w:r>
    </w:p>
  </w:endnote>
  <w:endnote w:type="continuationSeparator" w:id="0">
    <w:p w:rsidR="0066162B" w:rsidRDefault="0066162B" w:rsidP="0076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60" w:rsidRDefault="00266030">
    <w:pPr>
      <w:pStyle w:val="Stopka"/>
    </w:pPr>
    <w:r>
      <w:rPr>
        <w:noProof/>
        <w:lang w:eastAsia="pl-PL"/>
      </w:rPr>
      <w:drawing>
        <wp:anchor distT="0" distB="0" distL="114300" distR="114300" simplePos="0" relativeHeight="251659776" behindDoc="0" locked="0" layoutInCell="1" allowOverlap="1" wp14:anchorId="626E5943" wp14:editId="3E634EAF">
          <wp:simplePos x="0" y="0"/>
          <wp:positionH relativeFrom="column">
            <wp:posOffset>-629920</wp:posOffset>
          </wp:positionH>
          <wp:positionV relativeFrom="paragraph">
            <wp:posOffset>88265</wp:posOffset>
          </wp:positionV>
          <wp:extent cx="7595870" cy="704215"/>
          <wp:effectExtent l="19050" t="0" r="5080" b="0"/>
          <wp:wrapNone/>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7595870" cy="704215"/>
                  </a:xfrm>
                  <a:prstGeom prst="rect">
                    <a:avLst/>
                  </a:prstGeom>
                  <a:noFill/>
                  <a:ln w="9525">
                    <a:noFill/>
                    <a:miter lim="800000"/>
                    <a:headEnd/>
                    <a:tailEnd/>
                  </a:ln>
                </pic:spPr>
              </pic:pic>
            </a:graphicData>
          </a:graphic>
        </wp:anchor>
      </w:drawing>
    </w:r>
  </w:p>
  <w:p w:rsidR="00396360" w:rsidRDefault="003963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B8" w:rsidRDefault="00266030">
    <w:pPr>
      <w:pStyle w:val="Stopka"/>
    </w:pPr>
    <w:r>
      <w:rPr>
        <w:noProof/>
        <w:lang w:eastAsia="pl-PL"/>
      </w:rPr>
      <w:drawing>
        <wp:anchor distT="0" distB="0" distL="114300" distR="114300" simplePos="0" relativeHeight="251657728" behindDoc="0" locked="0" layoutInCell="1" allowOverlap="1" wp14:anchorId="0E4133B3" wp14:editId="76690927">
          <wp:simplePos x="0" y="0"/>
          <wp:positionH relativeFrom="column">
            <wp:posOffset>-636905</wp:posOffset>
          </wp:positionH>
          <wp:positionV relativeFrom="paragraph">
            <wp:posOffset>-80010</wp:posOffset>
          </wp:positionV>
          <wp:extent cx="7595870" cy="704215"/>
          <wp:effectExtent l="19050" t="0" r="5080"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7595870" cy="704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2B" w:rsidRDefault="0066162B" w:rsidP="0076796D">
      <w:pPr>
        <w:spacing w:after="0" w:line="240" w:lineRule="auto"/>
      </w:pPr>
      <w:r>
        <w:separator/>
      </w:r>
    </w:p>
  </w:footnote>
  <w:footnote w:type="continuationSeparator" w:id="0">
    <w:p w:rsidR="0066162B" w:rsidRDefault="0066162B" w:rsidP="00767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23" w:rsidRDefault="00266030">
    <w:pPr>
      <w:pStyle w:val="Nagwek"/>
    </w:pPr>
    <w:r>
      <w:rPr>
        <w:noProof/>
        <w:lang w:eastAsia="pl-PL"/>
      </w:rPr>
      <w:drawing>
        <wp:anchor distT="0" distB="0" distL="114300" distR="114300" simplePos="0" relativeHeight="251655680" behindDoc="1" locked="0" layoutInCell="1" allowOverlap="1" wp14:anchorId="7DC8B379" wp14:editId="179A286A">
          <wp:simplePos x="0" y="0"/>
          <wp:positionH relativeFrom="column">
            <wp:posOffset>-630555</wp:posOffset>
          </wp:positionH>
          <wp:positionV relativeFrom="paragraph">
            <wp:posOffset>-75565</wp:posOffset>
          </wp:positionV>
          <wp:extent cx="7560310" cy="682625"/>
          <wp:effectExtent l="19050" t="0" r="2540" b="0"/>
          <wp:wrapThrough wrapText="bothSides">
            <wp:wrapPolygon edited="0">
              <wp:start x="-54" y="0"/>
              <wp:lineTo x="-54" y="21098"/>
              <wp:lineTo x="21607" y="21098"/>
              <wp:lineTo x="21607" y="0"/>
              <wp:lineTo x="-54" y="0"/>
            </wp:wrapPolygon>
          </wp:wrapThrough>
          <wp:docPr id="5"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7560310" cy="6826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C8" w:rsidRDefault="00266030">
    <w:pPr>
      <w:pStyle w:val="Nagwek"/>
    </w:pPr>
    <w:r>
      <w:rPr>
        <w:noProof/>
        <w:lang w:eastAsia="pl-PL"/>
      </w:rPr>
      <w:drawing>
        <wp:anchor distT="0" distB="0" distL="114300" distR="114300" simplePos="0" relativeHeight="251658752" behindDoc="0" locked="0" layoutInCell="1" allowOverlap="1" wp14:anchorId="100D1CF0" wp14:editId="621BE007">
          <wp:simplePos x="0" y="0"/>
          <wp:positionH relativeFrom="column">
            <wp:posOffset>-889228</wp:posOffset>
          </wp:positionH>
          <wp:positionV relativeFrom="paragraph">
            <wp:posOffset>-325452</wp:posOffset>
          </wp:positionV>
          <wp:extent cx="7560310" cy="1115695"/>
          <wp:effectExtent l="0" t="0" r="0" b="0"/>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7560310" cy="1115695"/>
                  </a:xfrm>
                  <a:prstGeom prst="rect">
                    <a:avLst/>
                  </a:prstGeom>
                  <a:noFill/>
                  <a:ln w="9525">
                    <a:noFill/>
                    <a:miter lim="800000"/>
                    <a:headEnd/>
                    <a:tailEnd/>
                  </a:ln>
                </pic:spPr>
              </pic:pic>
            </a:graphicData>
          </a:graphic>
        </wp:anchor>
      </w:drawing>
    </w:r>
  </w:p>
  <w:p w:rsidR="00667301" w:rsidRDefault="0066730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B8" w:rsidRDefault="00266030" w:rsidP="001B7677">
    <w:pPr>
      <w:pStyle w:val="Nagwek"/>
      <w:tabs>
        <w:tab w:val="clear" w:pos="9072"/>
        <w:tab w:val="right" w:pos="9214"/>
      </w:tabs>
    </w:pPr>
    <w:r>
      <w:rPr>
        <w:noProof/>
        <w:lang w:eastAsia="pl-PL"/>
      </w:rPr>
      <w:drawing>
        <wp:anchor distT="0" distB="0" distL="114300" distR="114300" simplePos="0" relativeHeight="251656704" behindDoc="0" locked="0" layoutInCell="1" allowOverlap="1" wp14:anchorId="02CE6645" wp14:editId="43361E9D">
          <wp:simplePos x="0" y="0"/>
          <wp:positionH relativeFrom="column">
            <wp:posOffset>-950481</wp:posOffset>
          </wp:positionH>
          <wp:positionV relativeFrom="paragraph">
            <wp:posOffset>-360045</wp:posOffset>
          </wp:positionV>
          <wp:extent cx="7560310" cy="134493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60310" cy="1344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35B8"/>
    <w:multiLevelType w:val="hybridMultilevel"/>
    <w:tmpl w:val="4B08D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D53FB4"/>
    <w:multiLevelType w:val="hybridMultilevel"/>
    <w:tmpl w:val="26B2E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E3C"/>
    <w:rsid w:val="00003E05"/>
    <w:rsid w:val="000431C8"/>
    <w:rsid w:val="00046389"/>
    <w:rsid w:val="00093CA5"/>
    <w:rsid w:val="000B429D"/>
    <w:rsid w:val="000C352E"/>
    <w:rsid w:val="000C6C23"/>
    <w:rsid w:val="000D755B"/>
    <w:rsid w:val="000F451C"/>
    <w:rsid w:val="00185CCB"/>
    <w:rsid w:val="00195CB8"/>
    <w:rsid w:val="001B69E7"/>
    <w:rsid w:val="001B7677"/>
    <w:rsid w:val="001C2FD3"/>
    <w:rsid w:val="001E3E9E"/>
    <w:rsid w:val="001F1A46"/>
    <w:rsid w:val="001F2D59"/>
    <w:rsid w:val="00266030"/>
    <w:rsid w:val="002C6E3C"/>
    <w:rsid w:val="002F080E"/>
    <w:rsid w:val="003047DC"/>
    <w:rsid w:val="00326D7B"/>
    <w:rsid w:val="00381395"/>
    <w:rsid w:val="00383F88"/>
    <w:rsid w:val="0038789B"/>
    <w:rsid w:val="00396360"/>
    <w:rsid w:val="003A164C"/>
    <w:rsid w:val="003A5B96"/>
    <w:rsid w:val="003C5CA5"/>
    <w:rsid w:val="004022C3"/>
    <w:rsid w:val="004E2BE4"/>
    <w:rsid w:val="00570CB4"/>
    <w:rsid w:val="00592269"/>
    <w:rsid w:val="005C7587"/>
    <w:rsid w:val="006210CE"/>
    <w:rsid w:val="0066162B"/>
    <w:rsid w:val="00667301"/>
    <w:rsid w:val="006A7A32"/>
    <w:rsid w:val="006E6858"/>
    <w:rsid w:val="007227FA"/>
    <w:rsid w:val="00726DD2"/>
    <w:rsid w:val="00727AA6"/>
    <w:rsid w:val="00762F0B"/>
    <w:rsid w:val="0076796D"/>
    <w:rsid w:val="007A1E15"/>
    <w:rsid w:val="007D79EB"/>
    <w:rsid w:val="0087164F"/>
    <w:rsid w:val="00A259B3"/>
    <w:rsid w:val="00A51458"/>
    <w:rsid w:val="00A80D3E"/>
    <w:rsid w:val="00AC2E57"/>
    <w:rsid w:val="00AE2E26"/>
    <w:rsid w:val="00B9486D"/>
    <w:rsid w:val="00C238F5"/>
    <w:rsid w:val="00CC01D6"/>
    <w:rsid w:val="00D80EEC"/>
    <w:rsid w:val="00DA1B0F"/>
    <w:rsid w:val="00DB63B5"/>
    <w:rsid w:val="00DD6262"/>
    <w:rsid w:val="00F1127B"/>
    <w:rsid w:val="00F17DA5"/>
    <w:rsid w:val="00F7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6E3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C6E3C"/>
    <w:rPr>
      <w:rFonts w:ascii="Tahoma" w:hAnsi="Tahoma" w:cs="Tahoma"/>
      <w:sz w:val="16"/>
      <w:szCs w:val="16"/>
    </w:rPr>
  </w:style>
  <w:style w:type="table" w:styleId="Tabela-Siatka">
    <w:name w:val="Table Grid"/>
    <w:basedOn w:val="Standardowy"/>
    <w:uiPriority w:val="59"/>
    <w:rsid w:val="002C6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4">
    <w:name w:val="Light Shading Accent 4"/>
    <w:basedOn w:val="Standardowy"/>
    <w:uiPriority w:val="60"/>
    <w:rsid w:val="001F2D5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agwek">
    <w:name w:val="header"/>
    <w:basedOn w:val="Normalny"/>
    <w:link w:val="NagwekZnak"/>
    <w:uiPriority w:val="99"/>
    <w:unhideWhenUsed/>
    <w:rsid w:val="00767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6D"/>
  </w:style>
  <w:style w:type="paragraph" w:styleId="Stopka">
    <w:name w:val="footer"/>
    <w:basedOn w:val="Normalny"/>
    <w:link w:val="StopkaZnak"/>
    <w:uiPriority w:val="99"/>
    <w:unhideWhenUsed/>
    <w:rsid w:val="00767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6D"/>
  </w:style>
  <w:style w:type="paragraph" w:styleId="Akapitzlist">
    <w:name w:val="List Paragraph"/>
    <w:basedOn w:val="Normalny"/>
    <w:uiPriority w:val="34"/>
    <w:qFormat/>
    <w:rsid w:val="00A80D3E"/>
    <w:pPr>
      <w:ind w:left="720"/>
      <w:contextualSpacing/>
    </w:pPr>
  </w:style>
  <w:style w:type="character" w:styleId="Hipercze">
    <w:name w:val="Hyperlink"/>
    <w:basedOn w:val="Domylnaczcionkaakapitu"/>
    <w:uiPriority w:val="99"/>
    <w:unhideWhenUsed/>
    <w:rsid w:val="00402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E9E6-3D13-4C19-A8B6-F232AF79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Koenigshaus</dc:creator>
  <cp:lastModifiedBy>Arkadiusz Maraszek</cp:lastModifiedBy>
  <cp:revision>9</cp:revision>
  <cp:lastPrinted>2014-04-01T10:24:00Z</cp:lastPrinted>
  <dcterms:created xsi:type="dcterms:W3CDTF">2013-04-12T13:25:00Z</dcterms:created>
  <dcterms:modified xsi:type="dcterms:W3CDTF">2014-04-03T05:30:00Z</dcterms:modified>
</cp:coreProperties>
</file>