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30"/>
        <w:gridCol w:w="3150"/>
      </w:tblGrid>
      <w:tr w:rsidR="00826D48" w:rsidRPr="00356FE1" w:rsidTr="003171CF">
        <w:trPr>
          <w:trHeight w:val="291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D48" w:rsidRPr="00B02D49" w:rsidRDefault="0093272D" w:rsidP="0093272D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L.dz. 484</w:t>
            </w:r>
            <w:bookmarkStart w:id="0" w:name="_GoBack"/>
            <w:bookmarkEnd w:id="0"/>
            <w:r w:rsidR="00826D48">
              <w:rPr>
                <w:rFonts w:ascii="Arial" w:hAnsi="Arial" w:cs="Arial"/>
                <w:sz w:val="20"/>
                <w:szCs w:val="20"/>
              </w:rPr>
              <w:t>/</w:t>
            </w:r>
            <w:r w:rsidR="00826D48" w:rsidRPr="00B02D49">
              <w:rPr>
                <w:rFonts w:ascii="Arial" w:hAnsi="Arial" w:cs="Arial"/>
                <w:sz w:val="20"/>
                <w:szCs w:val="20"/>
              </w:rPr>
              <w:t>DZP/EŚ/201</w:t>
            </w:r>
            <w:r w:rsidR="00826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B02D4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D49">
              <w:rPr>
                <w:rFonts w:ascii="Arial" w:hAnsi="Arial" w:cs="Arial"/>
                <w:sz w:val="20"/>
                <w:szCs w:val="20"/>
              </w:rPr>
              <w:t xml:space="preserve">Zabrze, dnia </w:t>
            </w:r>
            <w:r w:rsidR="0093272D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B02D4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6D48" w:rsidRPr="00356FE1" w:rsidTr="003171CF">
        <w:trPr>
          <w:trHeight w:val="34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D49">
              <w:rPr>
                <w:rFonts w:ascii="Arial" w:hAnsi="Arial" w:cs="Arial"/>
                <w:bCs/>
                <w:sz w:val="20"/>
                <w:szCs w:val="20"/>
              </w:rPr>
              <w:t>Nr postępowania: ZP/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B02D49">
              <w:rPr>
                <w:rFonts w:ascii="Arial" w:hAnsi="Arial" w:cs="Arial"/>
                <w:bCs/>
                <w:sz w:val="20"/>
                <w:szCs w:val="20"/>
              </w:rPr>
              <w:t>/MGW/201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D48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B02D49">
              <w:rPr>
                <w:rFonts w:ascii="Arial" w:hAnsi="Arial" w:cs="Arial"/>
                <w:b/>
                <w:sz w:val="20"/>
                <w:szCs w:val="20"/>
              </w:rPr>
              <w:t>Wg rozdzielnika</w:t>
            </w:r>
          </w:p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D48" w:rsidRPr="00B02D49" w:rsidRDefault="00826D48" w:rsidP="003171CF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6D48" w:rsidRDefault="00826D48" w:rsidP="00826D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3"/>
        <w:gridCol w:w="7981"/>
      </w:tblGrid>
      <w:tr w:rsidR="0035310D" w:rsidRPr="0035310D" w:rsidTr="003171CF">
        <w:tc>
          <w:tcPr>
            <w:tcW w:w="983" w:type="dxa"/>
            <w:shd w:val="clear" w:color="auto" w:fill="auto"/>
          </w:tcPr>
          <w:p w:rsidR="00826D48" w:rsidRPr="0035310D" w:rsidRDefault="00826D48" w:rsidP="0035310D">
            <w:pPr>
              <w:spacing w:after="0" w:line="360" w:lineRule="auto"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 w:rsidRPr="0035310D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Dotyczy:</w:t>
            </w:r>
          </w:p>
        </w:tc>
        <w:tc>
          <w:tcPr>
            <w:tcW w:w="8195" w:type="dxa"/>
            <w:shd w:val="clear" w:color="auto" w:fill="auto"/>
          </w:tcPr>
          <w:p w:rsidR="00826D48" w:rsidRPr="0035310D" w:rsidRDefault="00826D48" w:rsidP="0035310D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10D">
              <w:rPr>
                <w:rFonts w:ascii="Arial" w:hAnsi="Arial" w:cs="Arial"/>
                <w:sz w:val="20"/>
                <w:szCs w:val="20"/>
              </w:rPr>
              <w:t xml:space="preserve">postępowania przetargowego o udzielenie zamówienia publicznego prowadzonego w trybie przetargu nieograniczonego na zadanie pn. </w:t>
            </w:r>
            <w:r w:rsidRPr="0035310D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Pr="00353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Wykonanie analizy geologiczno-górniczej wraz z opracowaniem koncepcji stabilizacji górotworu wokół wyrobisk Głównej Kluczowej Sztolni Dziedzicznej”</w:t>
            </w:r>
            <w:r w:rsidRPr="0035310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826D48" w:rsidRPr="0035310D" w:rsidRDefault="00826D48" w:rsidP="0035310D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3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ZP/35/MGW/2018</w:t>
            </w:r>
          </w:p>
          <w:p w:rsidR="00826D48" w:rsidRPr="0035310D" w:rsidRDefault="00826D48" w:rsidP="0035310D">
            <w:pPr>
              <w:spacing w:after="0" w:line="360" w:lineRule="auto"/>
              <w:jc w:val="both"/>
              <w:rPr>
                <w:rFonts w:ascii="Arial" w:eastAsia="BatangChe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826D48" w:rsidRPr="0035310D" w:rsidRDefault="00826D48" w:rsidP="0035310D">
      <w:pPr>
        <w:spacing w:after="0" w:line="360" w:lineRule="auto"/>
        <w:rPr>
          <w:sz w:val="20"/>
          <w:szCs w:val="20"/>
        </w:rPr>
      </w:pPr>
    </w:p>
    <w:p w:rsidR="00082FCE" w:rsidRPr="0035310D" w:rsidRDefault="00826D48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310D">
        <w:rPr>
          <w:rFonts w:ascii="Arial" w:hAnsi="Arial" w:cs="Arial"/>
          <w:b/>
          <w:sz w:val="20"/>
          <w:szCs w:val="20"/>
        </w:rPr>
        <w:t>ZAWIADOMIENIE O UNIEWAŻNIENIU CZYNNOŚCI OCENY I WYBORU NAJ</w:t>
      </w:r>
      <w:r w:rsidR="00B76FA7">
        <w:rPr>
          <w:rFonts w:ascii="Arial" w:hAnsi="Arial" w:cs="Arial"/>
          <w:b/>
          <w:sz w:val="20"/>
          <w:szCs w:val="20"/>
        </w:rPr>
        <w:t>KORZYSTNIEJSZEJ OFERTY</w:t>
      </w:r>
      <w:r w:rsidRPr="0035310D">
        <w:rPr>
          <w:rFonts w:ascii="Arial" w:hAnsi="Arial" w:cs="Arial"/>
          <w:b/>
          <w:sz w:val="20"/>
          <w:szCs w:val="20"/>
        </w:rPr>
        <w:t xml:space="preserve"> ORAZ UNIEWAŻNIENIU POSTĘPOWANIA</w:t>
      </w:r>
      <w:r w:rsidR="0035310D" w:rsidRPr="0035310D">
        <w:rPr>
          <w:rFonts w:ascii="Arial" w:hAnsi="Arial" w:cs="Arial"/>
          <w:b/>
          <w:sz w:val="20"/>
          <w:szCs w:val="20"/>
        </w:rPr>
        <w:t>.</w:t>
      </w:r>
    </w:p>
    <w:p w:rsidR="0035310D" w:rsidRPr="0035310D" w:rsidRDefault="0035310D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FCE" w:rsidRPr="0035310D" w:rsidRDefault="00082FCE" w:rsidP="0035310D">
      <w:pPr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5310D">
        <w:rPr>
          <w:rFonts w:ascii="Arial" w:hAnsi="Arial" w:cs="Arial"/>
          <w:sz w:val="20"/>
          <w:szCs w:val="20"/>
        </w:rPr>
        <w:t xml:space="preserve">Dot. </w:t>
      </w:r>
      <w:r w:rsidR="00124A8B" w:rsidRPr="0035310D">
        <w:rPr>
          <w:rFonts w:ascii="Arial" w:hAnsi="Arial" w:cs="Arial"/>
          <w:b/>
          <w:sz w:val="20"/>
          <w:szCs w:val="20"/>
          <w:lang w:eastAsia="ar-SA"/>
        </w:rPr>
        <w:t>Wykonanie analizy geologiczno-górniczej wraz z opracowaniem koncepcji stabilizacji górotworu wokół wyrobisk Głównej Kluczowej Sztolni Dziedzicznej”</w:t>
      </w:r>
    </w:p>
    <w:p w:rsidR="00082FCE" w:rsidRPr="0035310D" w:rsidRDefault="00082FCE" w:rsidP="003531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>Zamawiający informuje</w:t>
      </w:r>
      <w:r w:rsidR="00B76FA7">
        <w:rPr>
          <w:rFonts w:ascii="Arial" w:hAnsi="Arial" w:cs="Arial"/>
          <w:sz w:val="20"/>
          <w:szCs w:val="20"/>
        </w:rPr>
        <w:t xml:space="preserve"> o</w:t>
      </w:r>
      <w:r w:rsidRPr="0035310D">
        <w:rPr>
          <w:rFonts w:ascii="Arial" w:hAnsi="Arial" w:cs="Arial"/>
          <w:sz w:val="20"/>
          <w:szCs w:val="20"/>
        </w:rPr>
        <w:t>:</w:t>
      </w:r>
    </w:p>
    <w:p w:rsidR="00082FCE" w:rsidRPr="0035310D" w:rsidRDefault="00082FCE" w:rsidP="003531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>unieważnieniu czynności wyboru najkorzystniejszej oferty na podstawie art. 7 ust. 3 ustawy  z dnia 29 stycznia 2004 r. - Prawo zamówień publicz</w:t>
      </w:r>
      <w:r w:rsidR="00124A8B" w:rsidRPr="0035310D">
        <w:rPr>
          <w:rFonts w:ascii="Arial" w:hAnsi="Arial" w:cs="Arial"/>
          <w:sz w:val="20"/>
          <w:szCs w:val="20"/>
        </w:rPr>
        <w:t>nych (Dz. U. z 201</w:t>
      </w:r>
      <w:r w:rsidR="00B76FA7">
        <w:rPr>
          <w:rFonts w:ascii="Arial" w:hAnsi="Arial" w:cs="Arial"/>
          <w:sz w:val="20"/>
          <w:szCs w:val="20"/>
        </w:rPr>
        <w:t>8</w:t>
      </w:r>
      <w:r w:rsidR="00124A8B" w:rsidRPr="0035310D">
        <w:rPr>
          <w:rFonts w:ascii="Arial" w:hAnsi="Arial" w:cs="Arial"/>
          <w:sz w:val="20"/>
          <w:szCs w:val="20"/>
        </w:rPr>
        <w:t xml:space="preserve"> r. poz. 1986</w:t>
      </w:r>
      <w:r w:rsidR="00826D48" w:rsidRPr="0035310D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826D48"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>)</w:t>
      </w:r>
    </w:p>
    <w:p w:rsidR="00082FCE" w:rsidRPr="0035310D" w:rsidRDefault="00082FCE" w:rsidP="003531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>unieważnieniu postępowania na podstawie art. 93 ust. 1 pkt ustawy</w:t>
      </w:r>
      <w:r w:rsidR="00826D48" w:rsidRPr="003531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D48"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 xml:space="preserve"> tj. postepowanie obarczone jest wadą uniemożliwiającą zawarcie niepodlegającej unieważnieniu umowy </w:t>
      </w:r>
      <w:r w:rsidR="00B76FA7">
        <w:rPr>
          <w:rFonts w:ascii="Arial" w:hAnsi="Arial" w:cs="Arial"/>
          <w:sz w:val="20"/>
          <w:szCs w:val="20"/>
        </w:rPr>
        <w:br/>
      </w:r>
      <w:r w:rsidRPr="0035310D">
        <w:rPr>
          <w:rFonts w:ascii="Arial" w:hAnsi="Arial" w:cs="Arial"/>
          <w:sz w:val="20"/>
          <w:szCs w:val="20"/>
        </w:rPr>
        <w:t>w sprawie zamówienia publicznego</w:t>
      </w:r>
    </w:p>
    <w:p w:rsidR="007A175C" w:rsidRPr="0035310D" w:rsidRDefault="007A175C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FCE" w:rsidRPr="0035310D" w:rsidRDefault="0035310D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310D">
        <w:rPr>
          <w:rFonts w:ascii="Arial" w:hAnsi="Arial" w:cs="Arial"/>
          <w:b/>
          <w:sz w:val="20"/>
          <w:szCs w:val="20"/>
        </w:rPr>
        <w:t xml:space="preserve">UZASADNIENIE  PRAWNE </w:t>
      </w:r>
    </w:p>
    <w:p w:rsidR="007A175C" w:rsidRPr="0035310D" w:rsidRDefault="007A175C" w:rsidP="003531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  <w:shd w:val="clear" w:color="auto" w:fill="FFFFFF"/>
        </w:rPr>
        <w:t xml:space="preserve">Zgodnie z podstawową dla udzielania zamówień normą wyrażoną w art. 91 ust. 3 ustawy </w:t>
      </w:r>
      <w:proofErr w:type="spellStart"/>
      <w:r w:rsidRPr="0035310D"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 w:rsidRPr="0035310D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35310D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kryteria oceny ofert nie mogą dotyczyć właściwości wykonawcy, a w szczególności jego wiarygodności ekonomicznej, technicznej lub finansowej</w:t>
      </w:r>
      <w:r w:rsidRPr="0035310D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Pr="0035310D">
        <w:rPr>
          <w:rFonts w:ascii="Arial" w:hAnsi="Arial" w:cs="Arial"/>
          <w:sz w:val="20"/>
          <w:szCs w:val="20"/>
          <w:shd w:val="clear" w:color="auto" w:fill="FFFFFF"/>
        </w:rPr>
        <w:t>Urząd Zamówień Publicznych potwierdził w swojej opinii „Kryteria oceny ofert a warunki udziału w postępowaniu w kontekście wymagania przez zamawiającego od wykonawców określonego doświadczenia”, że właściwości wykonawcy ubiegającego się o zamówienie publiczne, w tym jego doświadczenie czy posiadanie znajomości określonej branży, nie mogą być brane pod uwagę przy ocenie oferty najkorzystniejszej.</w:t>
      </w:r>
      <w:r w:rsidR="0035310D" w:rsidRPr="003531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310D" w:rsidRPr="0035310D">
        <w:rPr>
          <w:rFonts w:ascii="Arial" w:hAnsi="Arial" w:cs="Arial"/>
          <w:bCs/>
          <w:sz w:val="20"/>
          <w:szCs w:val="20"/>
          <w:shd w:val="clear" w:color="auto" w:fill="FFFFFF"/>
        </w:rPr>
        <w:t>W ramach kryterium oceny ofert zama</w:t>
      </w:r>
      <w:r w:rsidR="00AA1B7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wiający zobowiązany jest </w:t>
      </w:r>
      <w:r w:rsidR="0035310D" w:rsidRPr="0035310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badać już tylko cechy dotyczące przedmiotu zamówienia, czyli jego cenę, parametry, termin wykonania, itp., nie może zatem oceniać cech wykonawcy, czyli np. jego doświadczenia. Zastosowanie jako kryteriów oceny ofert – kryteriów dotyczących właściwości wykonawcy stanowi naruszenie art. 91 ust. 2 i 3 ustawy </w:t>
      </w:r>
      <w:proofErr w:type="spellStart"/>
      <w:r w:rsidR="0035310D" w:rsidRPr="0035310D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35310D" w:rsidRPr="0035310D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35310D" w:rsidRPr="0035310D">
        <w:rPr>
          <w:rFonts w:ascii="Arial" w:hAnsi="Arial" w:cs="Arial"/>
          <w:sz w:val="20"/>
          <w:szCs w:val="20"/>
          <w:shd w:val="clear" w:color="auto" w:fill="FFFFFF"/>
        </w:rPr>
        <w:t xml:space="preserve"> Z powyższego wynika, że właściwości wykonawcy ubiegającego się o zamówienie publiczne nie mogą być brane pod uwagę przy ocenie najkorzystniejszej oferty.</w:t>
      </w:r>
    </w:p>
    <w:p w:rsidR="0035310D" w:rsidRPr="0035310D" w:rsidRDefault="00082FCE" w:rsidP="003531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lastRenderedPageBreak/>
        <w:t>Zgodnie z art. 7 ust. 3 ustawy z dnia 29 stycznia 2004 r. - Prawo zamówień publicznych (Dz. U. z 201</w:t>
      </w:r>
      <w:r w:rsidR="00826D48" w:rsidRPr="0035310D">
        <w:rPr>
          <w:rFonts w:ascii="Arial" w:hAnsi="Arial" w:cs="Arial"/>
          <w:sz w:val="20"/>
          <w:szCs w:val="20"/>
        </w:rPr>
        <w:t>8</w:t>
      </w:r>
      <w:r w:rsidRPr="0035310D">
        <w:rPr>
          <w:rFonts w:ascii="Arial" w:hAnsi="Arial" w:cs="Arial"/>
          <w:sz w:val="20"/>
          <w:szCs w:val="20"/>
        </w:rPr>
        <w:t xml:space="preserve"> r. poz. 1986, ) zamówienia udziela się wyłącznie wykonawcy wybranemu zgodnie z przepisami </w:t>
      </w:r>
      <w:proofErr w:type="spellStart"/>
      <w:r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 xml:space="preserve">. </w:t>
      </w:r>
      <w:r w:rsidR="00826D48" w:rsidRPr="0035310D">
        <w:rPr>
          <w:rFonts w:ascii="Arial" w:hAnsi="Arial" w:cs="Arial"/>
          <w:sz w:val="20"/>
          <w:szCs w:val="20"/>
        </w:rPr>
        <w:br/>
      </w:r>
      <w:r w:rsidRPr="0035310D">
        <w:rPr>
          <w:rFonts w:ascii="Arial" w:hAnsi="Arial" w:cs="Arial"/>
          <w:sz w:val="20"/>
          <w:szCs w:val="20"/>
        </w:rPr>
        <w:t xml:space="preserve">Z art. 7 ust. 3 </w:t>
      </w:r>
      <w:proofErr w:type="spellStart"/>
      <w:r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 xml:space="preserve"> wynika, że celem każdego postępowania jest zawarcie niepodlegającej unieważnieniu umowy w</w:t>
      </w:r>
      <w:r w:rsidR="00AA1B78">
        <w:rPr>
          <w:rFonts w:ascii="Arial" w:hAnsi="Arial" w:cs="Arial"/>
          <w:sz w:val="20"/>
          <w:szCs w:val="20"/>
        </w:rPr>
        <w:t xml:space="preserve"> sprawie zamówienia publicznego</w:t>
      </w:r>
      <w:r w:rsidR="00B76FA7">
        <w:rPr>
          <w:rFonts w:ascii="Arial" w:hAnsi="Arial" w:cs="Arial"/>
          <w:sz w:val="20"/>
          <w:szCs w:val="20"/>
        </w:rPr>
        <w:t>,</w:t>
      </w:r>
      <w:r w:rsidR="00AA1B78">
        <w:rPr>
          <w:rFonts w:ascii="Arial" w:hAnsi="Arial" w:cs="Arial"/>
          <w:sz w:val="20"/>
          <w:szCs w:val="20"/>
        </w:rPr>
        <w:t xml:space="preserve"> a także </w:t>
      </w:r>
      <w:r w:rsidRPr="0035310D">
        <w:rPr>
          <w:rFonts w:ascii="Arial" w:hAnsi="Arial" w:cs="Arial"/>
          <w:sz w:val="20"/>
          <w:szCs w:val="20"/>
        </w:rPr>
        <w:t xml:space="preserve">niedopuszczalne jest zawarcie umowy w sprawie zamówienia publicznego, jeżeli działanie zamawiającego stanowi w świetle art. 146 ust. 6 </w:t>
      </w:r>
      <w:proofErr w:type="spellStart"/>
      <w:r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 xml:space="preserve"> dokonanie czynności z naruszeniem przepisu </w:t>
      </w:r>
      <w:proofErr w:type="spellStart"/>
      <w:r w:rsidRPr="0035310D">
        <w:rPr>
          <w:rFonts w:ascii="Arial" w:hAnsi="Arial" w:cs="Arial"/>
          <w:sz w:val="20"/>
          <w:szCs w:val="20"/>
        </w:rPr>
        <w:t>Pzp</w:t>
      </w:r>
      <w:proofErr w:type="spellEnd"/>
      <w:r w:rsidRPr="0035310D">
        <w:rPr>
          <w:rFonts w:ascii="Arial" w:hAnsi="Arial" w:cs="Arial"/>
          <w:sz w:val="20"/>
          <w:szCs w:val="20"/>
        </w:rPr>
        <w:t>, które miało lub mogło mieć wpływ na wynik postępowania.</w:t>
      </w:r>
    </w:p>
    <w:p w:rsidR="00082FCE" w:rsidRPr="0035310D" w:rsidRDefault="00082FCE" w:rsidP="003531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>Na podstawie art. 93 ust. 1 pkt</w:t>
      </w:r>
      <w:r w:rsidR="00826D48" w:rsidRPr="0035310D">
        <w:rPr>
          <w:rFonts w:ascii="Arial" w:hAnsi="Arial" w:cs="Arial"/>
          <w:sz w:val="20"/>
          <w:szCs w:val="20"/>
        </w:rPr>
        <w:t xml:space="preserve"> 7</w:t>
      </w:r>
      <w:r w:rsidRPr="0035310D">
        <w:rPr>
          <w:rFonts w:ascii="Arial" w:hAnsi="Arial" w:cs="Arial"/>
          <w:sz w:val="20"/>
          <w:szCs w:val="20"/>
        </w:rPr>
        <w:t xml:space="preserve"> ustawy tj. postepowanie obarczone jest wadą uniemożliwiającą</w:t>
      </w:r>
      <w:r w:rsidR="00826D48" w:rsidRPr="0035310D">
        <w:rPr>
          <w:rFonts w:ascii="Arial" w:hAnsi="Arial" w:cs="Arial"/>
          <w:sz w:val="20"/>
          <w:szCs w:val="20"/>
        </w:rPr>
        <w:t xml:space="preserve"> </w:t>
      </w:r>
      <w:r w:rsidRPr="0035310D">
        <w:rPr>
          <w:rFonts w:ascii="Arial" w:hAnsi="Arial" w:cs="Arial"/>
          <w:sz w:val="20"/>
          <w:szCs w:val="20"/>
        </w:rPr>
        <w:t>zawarcie niepodlegającej unieważnieniu umowy w sprawie zamówienia publicznego</w:t>
      </w:r>
      <w:r w:rsidR="00826D48" w:rsidRPr="0035310D">
        <w:rPr>
          <w:rFonts w:ascii="Arial" w:hAnsi="Arial" w:cs="Arial"/>
          <w:sz w:val="20"/>
          <w:szCs w:val="20"/>
        </w:rPr>
        <w:t>.</w:t>
      </w:r>
    </w:p>
    <w:p w:rsidR="00826D48" w:rsidRPr="0035310D" w:rsidRDefault="00826D48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6D48" w:rsidRPr="0035310D" w:rsidRDefault="0035310D" w:rsidP="0035310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310D">
        <w:rPr>
          <w:rFonts w:ascii="Arial" w:hAnsi="Arial" w:cs="Arial"/>
          <w:b/>
          <w:sz w:val="20"/>
          <w:szCs w:val="20"/>
        </w:rPr>
        <w:t>UZASADNIENIE  FAKTYCZNE</w:t>
      </w:r>
    </w:p>
    <w:p w:rsidR="00826D48" w:rsidRPr="0035310D" w:rsidRDefault="00826D48" w:rsidP="003531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26D48" w:rsidRPr="0035310D" w:rsidRDefault="00826D48" w:rsidP="003531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 xml:space="preserve">W przedmiotowym przetargu Zamawiający jako kryterium którym kierował się przy wyborze oferty najkorzystniejszej przyjął nie właściwą przesłankę podmiotową odnoszącą się do właściwości Wykonawcy  </w:t>
      </w:r>
      <w:proofErr w:type="spellStart"/>
      <w:r w:rsidRPr="0035310D">
        <w:rPr>
          <w:rFonts w:ascii="Arial" w:hAnsi="Arial" w:cs="Arial"/>
          <w:sz w:val="20"/>
          <w:szCs w:val="20"/>
        </w:rPr>
        <w:t>tzn</w:t>
      </w:r>
      <w:proofErr w:type="spellEnd"/>
      <w:r w:rsidRPr="0035310D">
        <w:rPr>
          <w:rFonts w:ascii="Arial" w:hAnsi="Arial" w:cs="Arial"/>
          <w:sz w:val="20"/>
          <w:szCs w:val="20"/>
        </w:rPr>
        <w:t xml:space="preserve"> . l</w:t>
      </w:r>
      <w:r w:rsidRPr="0035310D">
        <w:rPr>
          <w:rFonts w:ascii="Arial" w:hAnsi="Arial" w:cs="Arial"/>
          <w:sz w:val="20"/>
          <w:szCs w:val="20"/>
          <w:lang w:eastAsia="ar-SA"/>
        </w:rPr>
        <w:t xml:space="preserve">iczba wykonanych projektów </w:t>
      </w:r>
      <w:r w:rsidRPr="0035310D">
        <w:rPr>
          <w:rFonts w:ascii="Arial" w:hAnsi="Arial" w:cs="Arial"/>
          <w:sz w:val="20"/>
          <w:szCs w:val="20"/>
        </w:rPr>
        <w:t xml:space="preserve">robót zabezpieczających w kopalniach podziemnych. </w:t>
      </w:r>
    </w:p>
    <w:p w:rsidR="00826D48" w:rsidRPr="0035310D" w:rsidRDefault="00826D48" w:rsidP="003531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26D48" w:rsidRPr="0035310D" w:rsidRDefault="00826D48" w:rsidP="0035310D">
      <w:pPr>
        <w:spacing w:after="0" w:line="360" w:lineRule="auto"/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35310D">
        <w:rPr>
          <w:rFonts w:ascii="Arial" w:hAnsi="Arial" w:cs="Arial"/>
          <w:b/>
          <w:bCs/>
          <w:sz w:val="20"/>
          <w:szCs w:val="20"/>
        </w:rPr>
        <w:t xml:space="preserve">P O U C Z E N I E </w:t>
      </w:r>
    </w:p>
    <w:p w:rsidR="00826D48" w:rsidRPr="0035310D" w:rsidRDefault="00826D48" w:rsidP="003531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10D">
        <w:rPr>
          <w:rFonts w:ascii="Arial" w:hAnsi="Arial" w:cs="Arial"/>
          <w:sz w:val="20"/>
          <w:szCs w:val="20"/>
        </w:rPr>
        <w:t>Strona, która otrzymuje niniejsze wezwanie pocztą elektroniczną zobowiązana jest bez wezwania strony przekazującej wezwanie do niezwłocznego potwierdzenia faktu jego otrzymania.</w:t>
      </w: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p w:rsidR="00826D48" w:rsidRDefault="00826D48" w:rsidP="00826D48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826D48" w:rsidRDefault="00826D48" w:rsidP="00826D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</w:t>
      </w:r>
    </w:p>
    <w:p w:rsidR="00826D48" w:rsidRPr="00FB0368" w:rsidRDefault="00826D48" w:rsidP="00826D4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w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Zabrzu</w:t>
      </w:r>
    </w:p>
    <w:p w:rsidR="00826D48" w:rsidRPr="00FB0368" w:rsidRDefault="00826D48" w:rsidP="00826D4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826D48" w:rsidRPr="00FB0368" w:rsidRDefault="00826D48" w:rsidP="00826D4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826D48" w:rsidRDefault="00826D48" w:rsidP="00826D4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826D48" w:rsidRPr="009A78C1" w:rsidRDefault="00826D48" w:rsidP="00826D4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826D48" w:rsidRPr="009A78C1" w:rsidRDefault="00826D48" w:rsidP="00826D4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826D48" w:rsidRPr="009A78C1" w:rsidRDefault="00826D48" w:rsidP="00826D4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Rozdzielnik:</w:t>
      </w:r>
    </w:p>
    <w:p w:rsidR="00826D48" w:rsidRPr="009A78C1" w:rsidRDefault="00826D48" w:rsidP="00826D48">
      <w:pPr>
        <w:spacing w:after="0" w:line="240" w:lineRule="auto"/>
        <w:rPr>
          <w:rFonts w:ascii="Arial" w:hAnsi="Arial" w:cs="Arial"/>
          <w:bCs/>
          <w:iCs/>
          <w:sz w:val="14"/>
          <w:szCs w:val="14"/>
        </w:rPr>
      </w:pPr>
    </w:p>
    <w:p w:rsidR="00826D48" w:rsidRPr="00935D1F" w:rsidRDefault="00826D48" w:rsidP="00826D48">
      <w:pPr>
        <w:pStyle w:val="Akapitzlist"/>
        <w:numPr>
          <w:ilvl w:val="0"/>
          <w:numId w:val="3"/>
        </w:numPr>
        <w:spacing w:after="0" w:line="360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935D1F">
        <w:rPr>
          <w:rFonts w:ascii="Arial" w:hAnsi="Arial" w:cs="Arial"/>
          <w:sz w:val="16"/>
          <w:szCs w:val="16"/>
        </w:rPr>
        <w:t>a/a</w:t>
      </w:r>
    </w:p>
    <w:p w:rsidR="00826D48" w:rsidRPr="00935D1F" w:rsidRDefault="00826D48" w:rsidP="00826D48">
      <w:pPr>
        <w:pStyle w:val="Akapitzlist"/>
        <w:numPr>
          <w:ilvl w:val="0"/>
          <w:numId w:val="3"/>
        </w:numPr>
        <w:spacing w:after="0" w:line="360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935D1F">
        <w:rPr>
          <w:rFonts w:ascii="Arial" w:hAnsi="Arial" w:cs="Arial"/>
          <w:sz w:val="16"/>
          <w:szCs w:val="16"/>
        </w:rPr>
        <w:t xml:space="preserve"> </w:t>
      </w:r>
      <w:r w:rsidRPr="00935D1F">
        <w:rPr>
          <w:rFonts w:ascii="Arial" w:hAnsi="Arial" w:cs="Arial"/>
          <w:iCs/>
          <w:sz w:val="16"/>
          <w:szCs w:val="16"/>
        </w:rPr>
        <w:t xml:space="preserve">Akademia Górniczo – Hutnicza im. St. Staszica. Wydział Górnictwa i </w:t>
      </w:r>
      <w:proofErr w:type="spellStart"/>
      <w:r w:rsidRPr="00935D1F">
        <w:rPr>
          <w:rFonts w:ascii="Arial" w:hAnsi="Arial" w:cs="Arial"/>
          <w:iCs/>
          <w:sz w:val="16"/>
          <w:szCs w:val="16"/>
        </w:rPr>
        <w:t>Geoinżynierii</w:t>
      </w:r>
      <w:proofErr w:type="spellEnd"/>
    </w:p>
    <w:p w:rsidR="00826D48" w:rsidRPr="00935D1F" w:rsidRDefault="00826D48" w:rsidP="00826D48">
      <w:pPr>
        <w:pStyle w:val="Akapitzlist"/>
        <w:numPr>
          <w:ilvl w:val="0"/>
          <w:numId w:val="3"/>
        </w:numPr>
        <w:spacing w:after="0" w:line="360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935D1F">
        <w:rPr>
          <w:rFonts w:ascii="Arial" w:hAnsi="Arial" w:cs="Arial"/>
          <w:iCs/>
          <w:sz w:val="16"/>
          <w:szCs w:val="16"/>
        </w:rPr>
        <w:t>Wydział Górnictwa i Geologii. Katedra Geomechaniki i Budownictwa Podziemnego</w:t>
      </w:r>
    </w:p>
    <w:p w:rsidR="00826D48" w:rsidRPr="00826D48" w:rsidRDefault="00826D48" w:rsidP="00826D4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26D48" w:rsidRPr="00826D48" w:rsidSect="00826D48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DA" w:rsidRDefault="000C6FDA" w:rsidP="0035310D">
      <w:pPr>
        <w:spacing w:after="0" w:line="240" w:lineRule="auto"/>
      </w:pPr>
      <w:r>
        <w:separator/>
      </w:r>
    </w:p>
  </w:endnote>
  <w:endnote w:type="continuationSeparator" w:id="0">
    <w:p w:rsidR="000C6FDA" w:rsidRDefault="000C6FDA" w:rsidP="0035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DA" w:rsidRDefault="000C6FDA" w:rsidP="0035310D">
      <w:pPr>
        <w:spacing w:after="0" w:line="240" w:lineRule="auto"/>
      </w:pPr>
      <w:r>
        <w:separator/>
      </w:r>
    </w:p>
  </w:footnote>
  <w:footnote w:type="continuationSeparator" w:id="0">
    <w:p w:rsidR="000C6FDA" w:rsidRDefault="000C6FDA" w:rsidP="0035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8311"/>
      <w:docPartObj>
        <w:docPartGallery w:val="Page Numbers (Margins)"/>
        <w:docPartUnique/>
      </w:docPartObj>
    </w:sdtPr>
    <w:sdtEndPr/>
    <w:sdtContent>
      <w:p w:rsidR="0035310D" w:rsidRDefault="0035310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10D" w:rsidRDefault="003531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3272D" w:rsidRPr="009327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5310D" w:rsidRDefault="003531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3272D" w:rsidRPr="009327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221C"/>
    <w:multiLevelType w:val="hybridMultilevel"/>
    <w:tmpl w:val="74F8CD56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F5D5744"/>
    <w:multiLevelType w:val="hybridMultilevel"/>
    <w:tmpl w:val="F96C2C74"/>
    <w:lvl w:ilvl="0" w:tplc="B6AC5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375D"/>
    <w:multiLevelType w:val="hybridMultilevel"/>
    <w:tmpl w:val="5ECE9758"/>
    <w:lvl w:ilvl="0" w:tplc="36EC66A0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E"/>
    <w:rsid w:val="000604C1"/>
    <w:rsid w:val="00082FCE"/>
    <w:rsid w:val="000C6FDA"/>
    <w:rsid w:val="00124A8B"/>
    <w:rsid w:val="00230353"/>
    <w:rsid w:val="0035310D"/>
    <w:rsid w:val="007A175C"/>
    <w:rsid w:val="00826D48"/>
    <w:rsid w:val="0093272D"/>
    <w:rsid w:val="00A6707B"/>
    <w:rsid w:val="00AA1B78"/>
    <w:rsid w:val="00B76FA7"/>
    <w:rsid w:val="00C862AB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CEC2B-511F-4BC3-B4E4-F4D9B397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75C"/>
    <w:rPr>
      <w:b/>
      <w:bCs/>
    </w:rPr>
  </w:style>
  <w:style w:type="paragraph" w:styleId="Akapitzlist">
    <w:name w:val="List Paragraph"/>
    <w:basedOn w:val="Normalny"/>
    <w:uiPriority w:val="34"/>
    <w:qFormat/>
    <w:rsid w:val="00124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0D"/>
  </w:style>
  <w:style w:type="paragraph" w:styleId="Stopka">
    <w:name w:val="footer"/>
    <w:basedOn w:val="Normalny"/>
    <w:link w:val="StopkaZnak"/>
    <w:uiPriority w:val="99"/>
    <w:unhideWhenUsed/>
    <w:rsid w:val="0035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0D"/>
  </w:style>
  <w:style w:type="paragraph" w:styleId="Tekstdymka">
    <w:name w:val="Balloon Text"/>
    <w:basedOn w:val="Normalny"/>
    <w:link w:val="TekstdymkaZnak"/>
    <w:uiPriority w:val="99"/>
    <w:semiHidden/>
    <w:unhideWhenUsed/>
    <w:rsid w:val="0093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7</cp:revision>
  <cp:lastPrinted>2019-02-08T08:51:00Z</cp:lastPrinted>
  <dcterms:created xsi:type="dcterms:W3CDTF">2019-02-07T08:38:00Z</dcterms:created>
  <dcterms:modified xsi:type="dcterms:W3CDTF">2019-02-08T09:00:00Z</dcterms:modified>
</cp:coreProperties>
</file>